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BE271" w14:textId="2F8655D9" w:rsidR="008D79DF" w:rsidRPr="003C206F" w:rsidRDefault="006F6757">
      <w:pPr>
        <w:rPr>
          <w:rFonts w:ascii="Roboto" w:hAnsi="Roboto"/>
          <w:b/>
          <w:bCs/>
          <w:color w:val="404040" w:themeColor="text1" w:themeTint="BF"/>
          <w:lang w:val="en-GB"/>
        </w:rPr>
      </w:pPr>
      <w:r>
        <w:rPr>
          <w:rFonts w:ascii="Roboto" w:hAnsi="Roboto"/>
          <w:b/>
          <w:bCs/>
          <w:noProof/>
          <w:color w:val="404040" w:themeColor="text1" w:themeTint="BF"/>
          <w:lang w:val="en-GB"/>
        </w:rPr>
        <w:drawing>
          <wp:anchor distT="0" distB="0" distL="114300" distR="114300" simplePos="0" relativeHeight="251659342" behindDoc="1" locked="0" layoutInCell="1" allowOverlap="1" wp14:anchorId="5B84DB3A" wp14:editId="4F9841D8">
            <wp:simplePos x="0" y="0"/>
            <wp:positionH relativeFrom="column">
              <wp:posOffset>-916305</wp:posOffset>
            </wp:positionH>
            <wp:positionV relativeFrom="paragraph">
              <wp:posOffset>-914400</wp:posOffset>
            </wp:positionV>
            <wp:extent cx="7559219" cy="10714482"/>
            <wp:effectExtent l="0" t="0" r="381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8">
                      <a:extLst>
                        <a:ext uri="{28A0092B-C50C-407E-A947-70E740481C1C}">
                          <a14:useLocalDpi xmlns:a14="http://schemas.microsoft.com/office/drawing/2010/main" val="0"/>
                        </a:ext>
                      </a:extLst>
                    </a:blip>
                    <a:stretch>
                      <a:fillRect/>
                    </a:stretch>
                  </pic:blipFill>
                  <pic:spPr>
                    <a:xfrm>
                      <a:off x="0" y="0"/>
                      <a:ext cx="7559219" cy="10714482"/>
                    </a:xfrm>
                    <a:prstGeom prst="rect">
                      <a:avLst/>
                    </a:prstGeom>
                  </pic:spPr>
                </pic:pic>
              </a:graphicData>
            </a:graphic>
            <wp14:sizeRelH relativeFrom="page">
              <wp14:pctWidth>0</wp14:pctWidth>
            </wp14:sizeRelH>
            <wp14:sizeRelV relativeFrom="page">
              <wp14:pctHeight>0</wp14:pctHeight>
            </wp14:sizeRelV>
          </wp:anchor>
        </w:drawing>
      </w:r>
      <w:r w:rsidR="007806F7" w:rsidRPr="003C206F">
        <w:rPr>
          <w:rFonts w:ascii="Roboto" w:hAnsi="Roboto"/>
          <w:b/>
          <w:bCs/>
          <w:noProof/>
          <w:color w:val="404040" w:themeColor="text1" w:themeTint="BF"/>
          <w:lang w:val="en-GB"/>
        </w:rPr>
        <w:drawing>
          <wp:anchor distT="0" distB="0" distL="114300" distR="114300" simplePos="0" relativeHeight="251658250" behindDoc="0" locked="0" layoutInCell="1" allowOverlap="1" wp14:anchorId="5F81FC3A" wp14:editId="749AD9C2">
            <wp:simplePos x="0" y="0"/>
            <wp:positionH relativeFrom="column">
              <wp:posOffset>1384300</wp:posOffset>
            </wp:positionH>
            <wp:positionV relativeFrom="paragraph">
              <wp:posOffset>-266700</wp:posOffset>
            </wp:positionV>
            <wp:extent cx="1117600" cy="12592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17600" cy="1259205"/>
                    </a:xfrm>
                    <a:prstGeom prst="rect">
                      <a:avLst/>
                    </a:prstGeom>
                  </pic:spPr>
                </pic:pic>
              </a:graphicData>
            </a:graphic>
            <wp14:sizeRelH relativeFrom="page">
              <wp14:pctWidth>0</wp14:pctWidth>
            </wp14:sizeRelH>
            <wp14:sizeRelV relativeFrom="page">
              <wp14:pctHeight>0</wp14:pctHeight>
            </wp14:sizeRelV>
          </wp:anchor>
        </w:drawing>
      </w:r>
      <w:r w:rsidR="007806F7" w:rsidRPr="003C206F">
        <w:rPr>
          <w:rFonts w:ascii="Roboto" w:hAnsi="Roboto"/>
          <w:b/>
          <w:bCs/>
          <w:noProof/>
          <w:color w:val="404040" w:themeColor="text1" w:themeTint="BF"/>
          <w:lang w:val="en-GB"/>
        </w:rPr>
        <w:drawing>
          <wp:anchor distT="0" distB="0" distL="114300" distR="114300" simplePos="0" relativeHeight="251658249" behindDoc="0" locked="0" layoutInCell="1" allowOverlap="1" wp14:anchorId="3F57D371" wp14:editId="49A57590">
            <wp:simplePos x="0" y="0"/>
            <wp:positionH relativeFrom="column">
              <wp:posOffset>0</wp:posOffset>
            </wp:positionH>
            <wp:positionV relativeFrom="paragraph">
              <wp:posOffset>-203835</wp:posOffset>
            </wp:positionV>
            <wp:extent cx="1219200" cy="1346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0" cy="1346200"/>
                    </a:xfrm>
                    <a:prstGeom prst="rect">
                      <a:avLst/>
                    </a:prstGeom>
                  </pic:spPr>
                </pic:pic>
              </a:graphicData>
            </a:graphic>
            <wp14:sizeRelH relativeFrom="page">
              <wp14:pctWidth>0</wp14:pctWidth>
            </wp14:sizeRelH>
            <wp14:sizeRelV relativeFrom="page">
              <wp14:pctHeight>0</wp14:pctHeight>
            </wp14:sizeRelV>
          </wp:anchor>
        </w:drawing>
      </w:r>
    </w:p>
    <w:p w14:paraId="20F30A16" w14:textId="48E5E18F" w:rsidR="008D79DF" w:rsidRPr="003C206F" w:rsidRDefault="00B67686">
      <w:pPr>
        <w:rPr>
          <w:rFonts w:ascii="Roboto" w:hAnsi="Roboto"/>
          <w:b/>
          <w:bCs/>
          <w:color w:val="404040" w:themeColor="text1" w:themeTint="BF"/>
          <w:lang w:val="en-GB"/>
        </w:rPr>
      </w:pPr>
      <w:r w:rsidRPr="003C206F">
        <w:rPr>
          <w:rFonts w:ascii="Roboto" w:hAnsi="Roboto"/>
          <w:b/>
          <w:bCs/>
          <w:noProof/>
          <w:color w:val="404040" w:themeColor="text1" w:themeTint="BF"/>
          <w:lang w:val="en-GB"/>
        </w:rPr>
        <mc:AlternateContent>
          <mc:Choice Requires="wps">
            <w:drawing>
              <wp:anchor distT="45720" distB="45720" distL="114300" distR="114300" simplePos="0" relativeHeight="251658251" behindDoc="0" locked="0" layoutInCell="1" allowOverlap="1" wp14:anchorId="0D913CC8" wp14:editId="0637C43E">
                <wp:simplePos x="0" y="0"/>
                <wp:positionH relativeFrom="margin">
                  <wp:posOffset>-143510</wp:posOffset>
                </wp:positionH>
                <wp:positionV relativeFrom="paragraph">
                  <wp:posOffset>1298180</wp:posOffset>
                </wp:positionV>
                <wp:extent cx="581406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404620"/>
                        </a:xfrm>
                        <a:prstGeom prst="rect">
                          <a:avLst/>
                        </a:prstGeom>
                        <a:noFill/>
                        <a:ln w="9525">
                          <a:noFill/>
                          <a:miter lim="800000"/>
                          <a:headEnd/>
                          <a:tailEnd/>
                        </a:ln>
                      </wps:spPr>
                      <wps:txbx>
                        <w:txbxContent>
                          <w:p w14:paraId="639D8FDF" w14:textId="77777777" w:rsidR="00C74675" w:rsidRDefault="00C74675" w:rsidP="006F4C28">
                            <w:pPr>
                              <w:pStyle w:val="KSASubHead1-Blue"/>
                            </w:pPr>
                          </w:p>
                          <w:p w14:paraId="7601B9B8" w14:textId="069C9620" w:rsidR="00C74675" w:rsidRDefault="00C74675" w:rsidP="006F4C28">
                            <w:pPr>
                              <w:pStyle w:val="KSASubHead1-Blue"/>
                              <w:rPr>
                                <w:sz w:val="40"/>
                                <w:szCs w:val="40"/>
                              </w:rPr>
                            </w:pPr>
                            <w:r w:rsidRPr="000A10AE">
                              <w:rPr>
                                <w:sz w:val="40"/>
                                <w:szCs w:val="40"/>
                              </w:rPr>
                              <w:t>United Nations Sustainable Develo</w:t>
                            </w:r>
                            <w:r>
                              <w:rPr>
                                <w:sz w:val="40"/>
                                <w:szCs w:val="40"/>
                              </w:rPr>
                              <w:t>p</w:t>
                            </w:r>
                            <w:r w:rsidRPr="000A10AE">
                              <w:rPr>
                                <w:sz w:val="40"/>
                                <w:szCs w:val="40"/>
                              </w:rPr>
                              <w:t xml:space="preserve">ment Cooperation Framework </w:t>
                            </w:r>
                            <w:r>
                              <w:rPr>
                                <w:sz w:val="40"/>
                                <w:szCs w:val="40"/>
                              </w:rPr>
                              <w:t>with</w:t>
                            </w:r>
                            <w:r w:rsidRPr="000A10AE">
                              <w:rPr>
                                <w:sz w:val="40"/>
                                <w:szCs w:val="40"/>
                              </w:rPr>
                              <w:t xml:space="preserve"> the Kingdom of Saudi Arabia 2022–2026 </w:t>
                            </w:r>
                          </w:p>
                          <w:p w14:paraId="1D05F938" w14:textId="291A6E2F" w:rsidR="00C74675" w:rsidRDefault="00C7467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913CC8" id="_x0000_t202" coordsize="21600,21600" o:spt="202" path="m,l,21600r21600,l21600,xe">
                <v:stroke joinstyle="miter"/>
                <v:path gradientshapeok="t" o:connecttype="rect"/>
              </v:shapetype>
              <v:shape id="Text Box 2" o:spid="_x0000_s1026" type="#_x0000_t202" style="position:absolute;margin-left:-11.3pt;margin-top:102.2pt;width:457.8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" filled="f" stroked="f">
                <v:textbox style="mso-fit-shape-to-text:t">
                  <w:txbxContent>
                    <w:p w14:paraId="639D8FDF" w14:textId="77777777" w:rsidR="00C74675" w:rsidRDefault="00C74675" w:rsidP="006F4C28">
                      <w:pPr>
                        <w:pStyle w:val="KSASubHead1-Blue"/>
                      </w:pPr>
                    </w:p>
                    <w:p w14:paraId="7601B9B8" w14:textId="069C9620" w:rsidR="00C74675" w:rsidRDefault="00C74675" w:rsidP="006F4C28">
                      <w:pPr>
                        <w:pStyle w:val="KSASubHead1-Blue"/>
                        <w:rPr>
                          <w:sz w:val="40"/>
                          <w:szCs w:val="40"/>
                        </w:rPr>
                      </w:pPr>
                      <w:r w:rsidRPr="000A10AE">
                        <w:rPr>
                          <w:sz w:val="40"/>
                          <w:szCs w:val="40"/>
                        </w:rPr>
                        <w:t>United Nations Sustainable Develo</w:t>
                      </w:r>
                      <w:r>
                        <w:rPr>
                          <w:sz w:val="40"/>
                          <w:szCs w:val="40"/>
                        </w:rPr>
                        <w:t>p</w:t>
                      </w:r>
                      <w:r w:rsidRPr="000A10AE">
                        <w:rPr>
                          <w:sz w:val="40"/>
                          <w:szCs w:val="40"/>
                        </w:rPr>
                        <w:t xml:space="preserve">ment Cooperation Framework </w:t>
                      </w:r>
                      <w:r>
                        <w:rPr>
                          <w:sz w:val="40"/>
                          <w:szCs w:val="40"/>
                        </w:rPr>
                        <w:t>with</w:t>
                      </w:r>
                      <w:r w:rsidRPr="000A10AE">
                        <w:rPr>
                          <w:sz w:val="40"/>
                          <w:szCs w:val="40"/>
                        </w:rPr>
                        <w:t xml:space="preserve"> the Kingdom of Saudi Arabia 2022–2026 </w:t>
                      </w:r>
                    </w:p>
                    <w:p w14:paraId="1D05F938" w14:textId="291A6E2F" w:rsidR="00C74675" w:rsidRDefault="00C74675"/>
                  </w:txbxContent>
                </v:textbox>
                <w10:wrap anchorx="margin"/>
              </v:shape>
            </w:pict>
          </mc:Fallback>
        </mc:AlternateContent>
      </w:r>
    </w:p>
    <w:p w14:paraId="442B31D8" w14:textId="41463FCC" w:rsidR="008D79DF" w:rsidRPr="003C206F" w:rsidRDefault="008D79DF">
      <w:pPr>
        <w:rPr>
          <w:rFonts w:ascii="Roboto" w:hAnsi="Roboto"/>
          <w:b/>
          <w:bCs/>
          <w:color w:val="404040" w:themeColor="text1" w:themeTint="BF"/>
          <w:lang w:val="en-GB"/>
        </w:rPr>
      </w:pPr>
    </w:p>
    <w:p w14:paraId="1D387CFA" w14:textId="4D389CFC" w:rsidR="008D79DF" w:rsidRPr="003C206F" w:rsidRDefault="008D79DF">
      <w:pPr>
        <w:rPr>
          <w:rFonts w:ascii="Roboto" w:hAnsi="Roboto"/>
          <w:b/>
          <w:bCs/>
          <w:color w:val="404040" w:themeColor="text1" w:themeTint="BF"/>
          <w:lang w:val="en-GB"/>
        </w:rPr>
      </w:pPr>
      <w:r w:rsidRPr="003C206F">
        <w:rPr>
          <w:rFonts w:ascii="Roboto" w:hAnsi="Roboto"/>
          <w:b/>
          <w:bCs/>
          <w:color w:val="404040" w:themeColor="text1" w:themeTint="BF"/>
          <w:lang w:val="en-GB"/>
        </w:rPr>
        <w:br w:type="page"/>
      </w:r>
    </w:p>
    <w:p w14:paraId="402CD3F1" w14:textId="2E352FC5" w:rsidR="00494D67" w:rsidRPr="003C206F" w:rsidRDefault="00494D67" w:rsidP="00D04A41">
      <w:pPr>
        <w:rPr>
          <w:rFonts w:ascii="Roboto" w:eastAsia="Calibri" w:hAnsi="Roboto" w:cs="Calibri"/>
          <w:b/>
          <w:bCs/>
          <w:color w:val="404040" w:themeColor="text1" w:themeTint="BF"/>
          <w:lang w:val="en-GB"/>
        </w:rPr>
        <w:sectPr w:rsidR="00494D67" w:rsidRPr="003C206F" w:rsidSect="007724D5">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720" w:footer="720" w:gutter="0"/>
          <w:cols w:num="2" w:space="720"/>
          <w:docGrid w:linePitch="360"/>
        </w:sectPr>
      </w:pPr>
      <w:bookmarkStart w:id="0" w:name="_Toc85442471"/>
    </w:p>
    <w:p w14:paraId="3C433DC0" w14:textId="761BECA4" w:rsidR="00001294" w:rsidRDefault="00BB7E3E" w:rsidP="00494D67">
      <w:pPr>
        <w:pStyle w:val="Heading1"/>
        <w:spacing w:before="0"/>
        <w:rPr>
          <w:rFonts w:ascii="Roboto" w:eastAsia="Calibri" w:hAnsi="Roboto" w:cs="Calibri"/>
          <w:b/>
          <w:bCs/>
          <w:color w:val="404040" w:themeColor="text1" w:themeTint="BF"/>
          <w:sz w:val="28"/>
          <w:szCs w:val="28"/>
          <w:lang w:val="en-GB"/>
        </w:rPr>
      </w:pPr>
      <w:bookmarkStart w:id="1" w:name="_Toc94103117"/>
      <w:bookmarkStart w:id="2" w:name="_Toc105333768"/>
      <w:r w:rsidRPr="00001294">
        <w:rPr>
          <w:rFonts w:ascii="Roboto" w:eastAsia="Calibri" w:hAnsi="Roboto" w:cs="Calibri"/>
          <w:b/>
          <w:bCs/>
          <w:noProof/>
          <w:color w:val="404040" w:themeColor="text1" w:themeTint="BF"/>
          <w:sz w:val="28"/>
          <w:szCs w:val="28"/>
          <w:lang w:val="en-GB"/>
        </w:rPr>
        <w:lastRenderedPageBreak/>
        <w:drawing>
          <wp:anchor distT="0" distB="0" distL="114300" distR="114300" simplePos="0" relativeHeight="251796558" behindDoc="0" locked="0" layoutInCell="1" allowOverlap="1" wp14:anchorId="5C4F5126" wp14:editId="5BA8EB15">
            <wp:simplePos x="0" y="0"/>
            <wp:positionH relativeFrom="column">
              <wp:posOffset>965200</wp:posOffset>
            </wp:positionH>
            <wp:positionV relativeFrom="paragraph">
              <wp:posOffset>-215900</wp:posOffset>
            </wp:positionV>
            <wp:extent cx="727032" cy="81915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900" cy="823508"/>
                    </a:xfrm>
                    <a:prstGeom prst="rect">
                      <a:avLst/>
                    </a:prstGeom>
                  </pic:spPr>
                </pic:pic>
              </a:graphicData>
            </a:graphic>
            <wp14:sizeRelH relativeFrom="page">
              <wp14:pctWidth>0</wp14:pctWidth>
            </wp14:sizeRelH>
            <wp14:sizeRelV relativeFrom="page">
              <wp14:pctHeight>0</wp14:pctHeight>
            </wp14:sizeRelV>
          </wp:anchor>
        </w:drawing>
      </w:r>
      <w:r w:rsidR="00001294" w:rsidRPr="00001294">
        <w:rPr>
          <w:rFonts w:ascii="Roboto" w:eastAsia="Calibri" w:hAnsi="Roboto" w:cs="Calibri"/>
          <w:b/>
          <w:bCs/>
          <w:noProof/>
          <w:color w:val="404040" w:themeColor="text1" w:themeTint="BF"/>
          <w:sz w:val="28"/>
          <w:szCs w:val="28"/>
          <w:lang w:val="en-GB"/>
        </w:rPr>
        <w:drawing>
          <wp:anchor distT="0" distB="0" distL="114300" distR="114300" simplePos="0" relativeHeight="251795534" behindDoc="0" locked="0" layoutInCell="1" allowOverlap="1" wp14:anchorId="55A08C93" wp14:editId="1F78AB93">
            <wp:simplePos x="0" y="0"/>
            <wp:positionH relativeFrom="column">
              <wp:posOffset>-31750</wp:posOffset>
            </wp:positionH>
            <wp:positionV relativeFrom="paragraph">
              <wp:posOffset>-228600</wp:posOffset>
            </wp:positionV>
            <wp:extent cx="799381" cy="882650"/>
            <wp:effectExtent l="0" t="0" r="127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07127" cy="891203"/>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p w14:paraId="31D833F5" w14:textId="4E4E027D" w:rsidR="00001294" w:rsidRDefault="00001294" w:rsidP="00001294">
      <w:pPr>
        <w:rPr>
          <w:rFonts w:eastAsia="Calibri"/>
          <w:lang w:val="en-GB"/>
        </w:rPr>
      </w:pPr>
    </w:p>
    <w:p w14:paraId="21C25000" w14:textId="3683DAA1" w:rsidR="00001294" w:rsidRDefault="00001294" w:rsidP="00001294">
      <w:pPr>
        <w:rPr>
          <w:rFonts w:eastAsia="Calibri"/>
          <w:lang w:val="en-GB"/>
        </w:rPr>
      </w:pPr>
    </w:p>
    <w:p w14:paraId="7B672907" w14:textId="3F9DE9E1" w:rsidR="00001294" w:rsidRDefault="00001294" w:rsidP="00001294">
      <w:pPr>
        <w:rPr>
          <w:rFonts w:eastAsia="Calibri"/>
          <w:lang w:val="en-GB"/>
        </w:rPr>
      </w:pPr>
    </w:p>
    <w:p w14:paraId="4FC9859D" w14:textId="77777777" w:rsidR="00BB7E3E" w:rsidRDefault="00BB7E3E" w:rsidP="00494D67">
      <w:pPr>
        <w:pStyle w:val="Heading1"/>
        <w:spacing w:before="0"/>
        <w:rPr>
          <w:rFonts w:ascii="Times New Roman" w:eastAsia="Calibri" w:hAnsi="Times New Roman" w:cs="Times New Roman"/>
          <w:color w:val="auto"/>
          <w:sz w:val="24"/>
          <w:szCs w:val="24"/>
          <w:lang w:val="en-GB"/>
        </w:rPr>
      </w:pPr>
    </w:p>
    <w:p w14:paraId="1BA41EDB" w14:textId="169FDE45" w:rsidR="00494D67" w:rsidRPr="003C206F" w:rsidRDefault="00494D67" w:rsidP="00494D67">
      <w:pPr>
        <w:pStyle w:val="Heading1"/>
        <w:spacing w:before="0"/>
        <w:rPr>
          <w:rFonts w:ascii="Roboto" w:eastAsia="Calibri" w:hAnsi="Roboto" w:cs="Calibri"/>
          <w:b/>
          <w:bCs/>
          <w:color w:val="404040" w:themeColor="text1" w:themeTint="BF"/>
          <w:sz w:val="28"/>
          <w:szCs w:val="28"/>
          <w:lang w:val="en-GB"/>
        </w:rPr>
      </w:pPr>
      <w:bookmarkStart w:id="3" w:name="_Toc105333769"/>
      <w:r w:rsidRPr="003C206F">
        <w:rPr>
          <w:rFonts w:ascii="Roboto" w:eastAsia="Calibri" w:hAnsi="Roboto" w:cs="Calibri"/>
          <w:b/>
          <w:bCs/>
          <w:color w:val="404040" w:themeColor="text1" w:themeTint="BF"/>
          <w:sz w:val="28"/>
          <w:szCs w:val="28"/>
          <w:lang w:val="en-GB"/>
        </w:rPr>
        <w:t>Joint Statement</w:t>
      </w:r>
      <w:bookmarkEnd w:id="0"/>
      <w:bookmarkEnd w:id="3"/>
    </w:p>
    <w:p w14:paraId="02407228" w14:textId="6C85F504" w:rsidR="00494D67" w:rsidRPr="003C206F" w:rsidRDefault="00494D67" w:rsidP="00494D67">
      <w:pPr>
        <w:rPr>
          <w:rFonts w:ascii="Roboto" w:hAnsi="Roboto"/>
          <w:b/>
          <w:bCs/>
          <w:color w:val="404040" w:themeColor="text1" w:themeTint="BF"/>
          <w:sz w:val="21"/>
          <w:szCs w:val="21"/>
          <w:lang w:val="en-GB"/>
        </w:rPr>
      </w:pPr>
    </w:p>
    <w:p w14:paraId="1C05D0A9" w14:textId="77777777" w:rsidR="00B907BA" w:rsidRPr="003C206F" w:rsidRDefault="00B907BA" w:rsidP="005A5556">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United Nations Sustainable Development Cooperation Framework 2022–2026 between the Government of the Kingdom of Saudi Arabia and the United Nations Country Team promotes a coherent and coordinated strategy to implement the </w:t>
      </w:r>
      <w:r w:rsidRPr="00645128">
        <w:rPr>
          <w:rFonts w:ascii="Roboto" w:hAnsi="Roboto" w:cs="Calibri"/>
          <w:color w:val="404040" w:themeColor="text1" w:themeTint="BF"/>
          <w:sz w:val="21"/>
          <w:szCs w:val="21"/>
          <w:lang w:val="en-GB"/>
        </w:rPr>
        <w:t xml:space="preserve">United Nations </w:t>
      </w:r>
      <w:r w:rsidRPr="003C206F">
        <w:rPr>
          <w:rFonts w:ascii="Roboto" w:hAnsi="Roboto" w:cs="Calibri"/>
          <w:color w:val="404040" w:themeColor="text1" w:themeTint="BF"/>
          <w:sz w:val="21"/>
          <w:szCs w:val="21"/>
          <w:lang w:val="en-GB"/>
        </w:rPr>
        <w:t>2030 Agenda for Sustainable Development while contributing to the attainment of the Kingdom of Saudi Arabia’s Vision 2030.</w:t>
      </w:r>
    </w:p>
    <w:p w14:paraId="26687193" w14:textId="77777777" w:rsidR="00094503" w:rsidRDefault="00B907BA" w:rsidP="005A5556">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Launched at the start of 2019, the United Nations Development System Reform places development at the heart of the United Nations, emphasizing the</w:t>
      </w:r>
      <w:r w:rsidR="002704D0">
        <w:rPr>
          <w:rFonts w:ascii="Roboto" w:hAnsi="Roboto" w:cs="Calibri"/>
          <w:color w:val="404040" w:themeColor="text1" w:themeTint="BF"/>
          <w:sz w:val="21"/>
          <w:szCs w:val="21"/>
          <w:lang w:val="en-GB"/>
        </w:rPr>
        <w:t xml:space="preserve"> UN’s</w:t>
      </w:r>
      <w:r w:rsidRPr="003C206F">
        <w:rPr>
          <w:rFonts w:ascii="Roboto" w:hAnsi="Roboto" w:cs="Calibri"/>
          <w:color w:val="404040" w:themeColor="text1" w:themeTint="BF"/>
          <w:sz w:val="21"/>
          <w:szCs w:val="21"/>
          <w:lang w:val="en-GB"/>
        </w:rPr>
        <w:t xml:space="preserve"> 2030 Agenda and the 17 Sustainable Development Goals. The United Nations Development System Reform, in essence, aims to reposition the United Nations as a stronger, better-defined collective identity and a trusted, reliable, cohesive, accountable, and effective partner to countries </w:t>
      </w:r>
      <w:r>
        <w:rPr>
          <w:rFonts w:ascii="Roboto" w:hAnsi="Roboto" w:cs="Calibri"/>
          <w:color w:val="404040" w:themeColor="text1" w:themeTint="BF"/>
          <w:sz w:val="21"/>
          <w:szCs w:val="21"/>
          <w:lang w:val="en-GB"/>
        </w:rPr>
        <w:t>working towards</w:t>
      </w:r>
      <w:r w:rsidRPr="003C206F">
        <w:rPr>
          <w:rFonts w:ascii="Roboto" w:hAnsi="Roboto" w:cs="Calibri"/>
          <w:color w:val="404040" w:themeColor="text1" w:themeTint="BF"/>
          <w:sz w:val="21"/>
          <w:szCs w:val="21"/>
          <w:lang w:val="en-GB"/>
        </w:rPr>
        <w:t xml:space="preserve">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The United Nations Sustainable Development Cooperation Framework 2022–2026 was developed under these principles, using the new guidelines for the next generation of United Nations Sustainable Development Cooperation Frameworks.</w:t>
      </w:r>
      <w:r w:rsidR="00094503">
        <w:rPr>
          <w:rFonts w:ascii="Roboto" w:hAnsi="Roboto" w:cs="Calibri"/>
          <w:color w:val="404040" w:themeColor="text1" w:themeTint="BF"/>
          <w:sz w:val="21"/>
          <w:szCs w:val="21"/>
          <w:lang w:val="en-GB"/>
        </w:rPr>
        <w:t xml:space="preserve"> </w:t>
      </w:r>
    </w:p>
    <w:p w14:paraId="262296DF" w14:textId="59D62230" w:rsidR="00B907BA" w:rsidRDefault="00094503" w:rsidP="005A5556">
      <w:pPr>
        <w:pStyle w:val="NormalWeb"/>
        <w:spacing w:before="0" w:beforeAutospacing="0" w:after="200" w:afterAutospacing="0"/>
        <w:jc w:val="both"/>
        <w:rPr>
          <w:rFonts w:ascii="Roboto" w:hAnsi="Roboto" w:cs="Calibri"/>
          <w:color w:val="404040" w:themeColor="text1" w:themeTint="BF"/>
          <w:sz w:val="21"/>
          <w:szCs w:val="21"/>
          <w:lang w:val="en-GB"/>
        </w:rPr>
      </w:pPr>
      <w:r w:rsidRPr="00094503">
        <w:rPr>
          <w:rFonts w:ascii="Roboto" w:hAnsi="Roboto" w:cs="Calibri"/>
          <w:color w:val="404040" w:themeColor="text1" w:themeTint="BF"/>
          <w:sz w:val="21"/>
          <w:szCs w:val="21"/>
          <w:lang w:val="en-GB"/>
        </w:rPr>
        <w:t xml:space="preserve">In September 2021, the Kingdom of Saudi Arabia established the Sustainable Development Steering Committee – comprised of 18 Government entities. This decision is considered an important first step towards the institutionalization of sustainable development within the policy-making process with the Government of Saudi Arabia. The committee’s mandate covers the following: review Saudi Arabia’s performance on the SDGs, identify policy gaps that are hindering the Kingdom’s performance, and propose recommendations on how to improve across SDG indicators; the committee is also required to submit a comprehensive roadmap that outlines how the Government intends to achieve the SDGs by 2030. The </w:t>
      </w:r>
      <w:r w:rsidR="008951E0">
        <w:rPr>
          <w:rFonts w:ascii="Roboto" w:hAnsi="Roboto" w:cs="Calibri"/>
          <w:color w:val="404040" w:themeColor="text1" w:themeTint="BF"/>
          <w:sz w:val="21"/>
          <w:szCs w:val="21"/>
          <w:lang w:val="en-GB"/>
        </w:rPr>
        <w:t xml:space="preserve">KSA’s </w:t>
      </w:r>
      <w:r w:rsidRPr="00094503">
        <w:rPr>
          <w:rFonts w:ascii="Roboto" w:hAnsi="Roboto" w:cs="Calibri"/>
          <w:color w:val="404040" w:themeColor="text1" w:themeTint="BF"/>
          <w:sz w:val="21"/>
          <w:szCs w:val="21"/>
          <w:lang w:val="en-GB"/>
        </w:rPr>
        <w:t>Sustainable Development Steering Committee aims to create an enabling policy landscape capable of mainstreaming sustainable development as a principle throughout the process of policy design and implementation. Building on the country’s national priorities and the ongoing partnership between the Government of the Kingdom of Saudi Arabia and the United Nations, the four Strategic Priority Areas of this United Nations Sustainable Development Cooperation Framework are as follows:</w:t>
      </w:r>
    </w:p>
    <w:p w14:paraId="55D03728" w14:textId="73F3B3C3" w:rsidR="00592ADD" w:rsidRDefault="00592ADD" w:rsidP="00592ADD">
      <w:pPr>
        <w:pStyle w:val="NormalWeb"/>
        <w:spacing w:before="0" w:beforeAutospacing="0" w:after="0" w:afterAutospacing="0"/>
        <w:jc w:val="both"/>
        <w:rPr>
          <w:rFonts w:ascii="Roboto" w:hAnsi="Roboto" w:cs="Calibri"/>
          <w:b/>
          <w:color w:val="404040" w:themeColor="text1" w:themeTint="BF"/>
          <w:sz w:val="10"/>
          <w:szCs w:val="10"/>
          <w:lang w:val="en-GB"/>
        </w:rPr>
      </w:pPr>
    </w:p>
    <w:tbl>
      <w:tblPr>
        <w:tblStyle w:val="TableGrid"/>
        <w:tblW w:w="0" w:type="auto"/>
        <w:jc w:val="center"/>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69"/>
        <w:gridCol w:w="8497"/>
      </w:tblGrid>
      <w:tr w:rsidR="00094503" w:rsidRPr="003C206F" w14:paraId="56C04A10" w14:textId="77777777" w:rsidTr="00464AC3">
        <w:trPr>
          <w:jc w:val="center"/>
        </w:trPr>
        <w:tc>
          <w:tcPr>
            <w:tcW w:w="420" w:type="dxa"/>
            <w:shd w:val="clear" w:color="auto" w:fill="26BDE2"/>
            <w:vAlign w:val="center"/>
          </w:tcPr>
          <w:p w14:paraId="3EECA818" w14:textId="7E522211" w:rsidR="00094503" w:rsidRPr="003C206F" w:rsidRDefault="00094503" w:rsidP="005E4540">
            <w:pPr>
              <w:pStyle w:val="NormalWeb"/>
              <w:spacing w:before="0" w:beforeAutospacing="0" w:after="0" w:afterAutospacing="0"/>
              <w:jc w:val="center"/>
              <w:rPr>
                <w:rFonts w:ascii="Roboto" w:hAnsi="Roboto" w:cs="Calibri"/>
                <w:b/>
                <w:color w:val="404040" w:themeColor="text1" w:themeTint="BF"/>
                <w:sz w:val="44"/>
                <w:szCs w:val="44"/>
                <w:lang w:val="en-GB"/>
              </w:rPr>
            </w:pPr>
            <w:r w:rsidRPr="00464AC3">
              <w:rPr>
                <w:rFonts w:ascii="Roboto" w:hAnsi="Roboto" w:cs="Calibri"/>
                <w:b/>
                <w:color w:val="FFFFFF" w:themeColor="background1"/>
                <w:sz w:val="44"/>
                <w:szCs w:val="44"/>
                <w:lang w:val="en-GB"/>
              </w:rPr>
              <w:t>1</w:t>
            </w:r>
          </w:p>
        </w:tc>
        <w:tc>
          <w:tcPr>
            <w:tcW w:w="9260" w:type="dxa"/>
          </w:tcPr>
          <w:p w14:paraId="17F96C66" w14:textId="57BD2836" w:rsidR="00094503" w:rsidRPr="003C206F" w:rsidRDefault="00094503" w:rsidP="005E4540">
            <w:pPr>
              <w:pStyle w:val="NormalWeb"/>
              <w:spacing w:before="120" w:beforeAutospacing="0" w:after="120" w:afterAutospacing="0"/>
              <w:ind w:left="288" w:right="288"/>
              <w:jc w:val="both"/>
              <w:rPr>
                <w:rFonts w:ascii="Roboto" w:hAnsi="Roboto" w:cs="Calibri"/>
                <w:color w:val="404040" w:themeColor="text1" w:themeTint="BF"/>
                <w:sz w:val="21"/>
                <w:szCs w:val="21"/>
                <w:lang w:val="en-GB"/>
              </w:rPr>
            </w:pPr>
            <w:r w:rsidRPr="00094503">
              <w:rPr>
                <w:rFonts w:ascii="Roboto" w:hAnsi="Roboto" w:cs="Calibri"/>
                <w:color w:val="404040" w:themeColor="text1" w:themeTint="BF"/>
                <w:sz w:val="21"/>
                <w:szCs w:val="21"/>
                <w:lang w:val="en-GB"/>
              </w:rPr>
              <w:t>Strategic Priority Area 1: People — According to the principles of ‘Leave No One Behind’ (LNOB), ensure that all human beings can fulfil their potential in dignity, equity, and equality in a healthy environment (SDGs 1–5)</w:t>
            </w:r>
          </w:p>
        </w:tc>
      </w:tr>
    </w:tbl>
    <w:p w14:paraId="466A3803" w14:textId="77777777" w:rsidR="00094503" w:rsidRPr="003C206F" w:rsidRDefault="00094503" w:rsidP="00592ADD">
      <w:pPr>
        <w:pStyle w:val="NormalWeb"/>
        <w:spacing w:before="0" w:beforeAutospacing="0" w:after="0" w:afterAutospacing="0"/>
        <w:jc w:val="both"/>
        <w:rPr>
          <w:rFonts w:ascii="Roboto" w:hAnsi="Roboto" w:cs="Calibri"/>
          <w:b/>
          <w:color w:val="404040" w:themeColor="text1" w:themeTint="BF"/>
          <w:sz w:val="10"/>
          <w:szCs w:val="10"/>
          <w:lang w:val="en-GB"/>
        </w:rPr>
      </w:pPr>
    </w:p>
    <w:tbl>
      <w:tblPr>
        <w:tblStyle w:val="TableGrid"/>
        <w:tblW w:w="0" w:type="auto"/>
        <w:jc w:val="center"/>
        <w:tblLook w:val="04A0" w:firstRow="1" w:lastRow="0" w:firstColumn="1" w:lastColumn="0" w:noHBand="0" w:noVBand="1"/>
      </w:tblPr>
      <w:tblGrid>
        <w:gridCol w:w="469"/>
        <w:gridCol w:w="8497"/>
      </w:tblGrid>
      <w:tr w:rsidR="003C206F" w:rsidRPr="003C206F" w14:paraId="62894D9C" w14:textId="77777777" w:rsidTr="00FC431A">
        <w:trPr>
          <w:jc w:val="center"/>
        </w:trPr>
        <w:tc>
          <w:tcPr>
            <w:tcW w:w="420" w:type="dxa"/>
            <w:tcBorders>
              <w:top w:val="single" w:sz="24" w:space="0" w:color="FF3A21"/>
              <w:left w:val="single" w:sz="24" w:space="0" w:color="FF3A21"/>
              <w:bottom w:val="single" w:sz="24" w:space="0" w:color="FF3A21"/>
              <w:right w:val="single" w:sz="24" w:space="0" w:color="FF3A21"/>
            </w:tcBorders>
            <w:shd w:val="clear" w:color="auto" w:fill="FF3A21"/>
            <w:vAlign w:val="center"/>
          </w:tcPr>
          <w:p w14:paraId="3DD032E1" w14:textId="147F13AA" w:rsidR="00F95B39" w:rsidRPr="003C206F" w:rsidRDefault="00FC431A" w:rsidP="00FC431A">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2</w:t>
            </w:r>
          </w:p>
        </w:tc>
        <w:tc>
          <w:tcPr>
            <w:tcW w:w="9260" w:type="dxa"/>
            <w:tcBorders>
              <w:top w:val="single" w:sz="24" w:space="0" w:color="FF3A21"/>
              <w:left w:val="single" w:sz="24" w:space="0" w:color="FF3A21"/>
              <w:bottom w:val="single" w:sz="24" w:space="0" w:color="FF3A21"/>
              <w:right w:val="single" w:sz="24" w:space="0" w:color="FF3A21"/>
            </w:tcBorders>
          </w:tcPr>
          <w:p w14:paraId="2FE0EA4D" w14:textId="09E9782F" w:rsidR="00F95B39" w:rsidRPr="003C206F" w:rsidRDefault="00F95B39" w:rsidP="000275BA">
            <w:pPr>
              <w:pStyle w:val="NormalWeb"/>
              <w:spacing w:before="120" w:beforeAutospacing="0" w:after="120" w:afterAutospacing="0"/>
              <w:ind w:left="288" w:right="288"/>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Strategic Priority Area 2: Planet — </w:t>
            </w:r>
            <w:r w:rsidR="00454C52">
              <w:rPr>
                <w:rFonts w:ascii="Roboto" w:hAnsi="Roboto" w:cs="Calibri"/>
                <w:color w:val="404040" w:themeColor="text1" w:themeTint="BF"/>
                <w:sz w:val="21"/>
                <w:szCs w:val="21"/>
                <w:lang w:val="en-GB"/>
              </w:rPr>
              <w:t>P</w:t>
            </w:r>
            <w:r w:rsidRPr="003C206F">
              <w:rPr>
                <w:rFonts w:ascii="Roboto" w:hAnsi="Roboto" w:cs="Calibri"/>
                <w:color w:val="404040" w:themeColor="text1" w:themeTint="BF"/>
                <w:sz w:val="21"/>
                <w:szCs w:val="21"/>
                <w:lang w:val="en-GB"/>
              </w:rPr>
              <w:t>rotect the planet from degradation, including through sustainable consumption and production, sustainably manage its natural resources, and take urgent action on climate change (SDGs 6, 12</w:t>
            </w:r>
            <w:r w:rsidR="00DC48D9" w:rsidRPr="003C206F">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15)</w:t>
            </w:r>
          </w:p>
        </w:tc>
      </w:tr>
    </w:tbl>
    <w:p w14:paraId="48733802" w14:textId="5804DF53" w:rsidR="00592ADD" w:rsidRPr="003C206F" w:rsidRDefault="00592ADD" w:rsidP="00592ADD">
      <w:pPr>
        <w:pStyle w:val="NormalWeb"/>
        <w:spacing w:before="0" w:beforeAutospacing="0" w:after="0" w:afterAutospacing="0"/>
        <w:jc w:val="both"/>
        <w:rPr>
          <w:rFonts w:ascii="Roboto" w:hAnsi="Roboto" w:cs="Calibri"/>
          <w:b/>
          <w:color w:val="404040" w:themeColor="text1" w:themeTint="BF"/>
          <w:sz w:val="10"/>
          <w:szCs w:val="10"/>
          <w:lang w:val="en-GB"/>
        </w:rPr>
      </w:pPr>
    </w:p>
    <w:tbl>
      <w:tblPr>
        <w:tblStyle w:val="TableGrid"/>
        <w:tblW w:w="0" w:type="auto"/>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ook w:val="04A0" w:firstRow="1" w:lastRow="0" w:firstColumn="1" w:lastColumn="0" w:noHBand="0" w:noVBand="1"/>
      </w:tblPr>
      <w:tblGrid>
        <w:gridCol w:w="469"/>
        <w:gridCol w:w="8497"/>
      </w:tblGrid>
      <w:tr w:rsidR="003C206F" w:rsidRPr="003C206F" w14:paraId="5FF79740" w14:textId="77777777" w:rsidTr="00D622A5">
        <w:trPr>
          <w:trHeight w:val="994"/>
        </w:trPr>
        <w:tc>
          <w:tcPr>
            <w:tcW w:w="420" w:type="dxa"/>
            <w:shd w:val="clear" w:color="auto" w:fill="4C9F38"/>
            <w:vAlign w:val="center"/>
          </w:tcPr>
          <w:p w14:paraId="1743278B" w14:textId="6E5110A5" w:rsidR="00FC431A" w:rsidRPr="003C206F" w:rsidRDefault="00FC431A" w:rsidP="00FC431A">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3</w:t>
            </w:r>
          </w:p>
        </w:tc>
        <w:tc>
          <w:tcPr>
            <w:tcW w:w="9260" w:type="dxa"/>
            <w:vAlign w:val="center"/>
          </w:tcPr>
          <w:p w14:paraId="0650AC88" w14:textId="5CB46396" w:rsidR="00FC431A" w:rsidRPr="003C206F" w:rsidRDefault="00FC431A" w:rsidP="00D622A5">
            <w:pPr>
              <w:pStyle w:val="NormalWeb"/>
              <w:spacing w:before="120" w:beforeAutospacing="0" w:after="120" w:afterAutospacing="0"/>
              <w:ind w:left="288" w:right="288"/>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Strategic Priority Area 3: Prosperity — </w:t>
            </w:r>
            <w:r w:rsidR="00454C52">
              <w:rPr>
                <w:rFonts w:ascii="Roboto" w:hAnsi="Roboto" w:cs="Calibri"/>
                <w:color w:val="404040" w:themeColor="text1" w:themeTint="BF"/>
                <w:sz w:val="21"/>
                <w:szCs w:val="21"/>
                <w:lang w:val="en-GB"/>
              </w:rPr>
              <w:t>E</w:t>
            </w:r>
            <w:r w:rsidRPr="003C206F">
              <w:rPr>
                <w:rFonts w:ascii="Roboto" w:hAnsi="Roboto" w:cs="Calibri"/>
                <w:color w:val="404040" w:themeColor="text1" w:themeTint="BF"/>
                <w:sz w:val="21"/>
                <w:szCs w:val="21"/>
                <w:lang w:val="en-GB"/>
              </w:rPr>
              <w:t>nsure that all human beings can enjoy prosperous and fulfilling lives (SDGs 7</w:t>
            </w:r>
            <w:r w:rsidR="00DC48D9" w:rsidRPr="003C206F">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11)</w:t>
            </w:r>
          </w:p>
        </w:tc>
      </w:tr>
    </w:tbl>
    <w:p w14:paraId="1F876154" w14:textId="550466B6" w:rsidR="00592ADD" w:rsidRPr="003C206F" w:rsidRDefault="00592ADD" w:rsidP="00592ADD">
      <w:pPr>
        <w:pStyle w:val="NormalWeb"/>
        <w:spacing w:before="0" w:beforeAutospacing="0" w:after="0" w:afterAutospacing="0"/>
        <w:jc w:val="both"/>
        <w:rPr>
          <w:rFonts w:ascii="Roboto" w:hAnsi="Roboto" w:cs="Calibri"/>
          <w:b/>
          <w:color w:val="404040" w:themeColor="text1" w:themeTint="BF"/>
          <w:sz w:val="10"/>
          <w:szCs w:val="10"/>
          <w:lang w:val="en-GB"/>
        </w:rPr>
      </w:pPr>
    </w:p>
    <w:tbl>
      <w:tblPr>
        <w:tblStyle w:val="TableGrid"/>
        <w:tblW w:w="0" w:type="auto"/>
        <w:jc w:val="center"/>
        <w:tblLook w:val="04A0" w:firstRow="1" w:lastRow="0" w:firstColumn="1" w:lastColumn="0" w:noHBand="0" w:noVBand="1"/>
      </w:tblPr>
      <w:tblGrid>
        <w:gridCol w:w="469"/>
        <w:gridCol w:w="8497"/>
      </w:tblGrid>
      <w:tr w:rsidR="003C206F" w:rsidRPr="003C206F" w14:paraId="47D887AB" w14:textId="77777777" w:rsidTr="00FC431A">
        <w:trPr>
          <w:jc w:val="center"/>
        </w:trPr>
        <w:tc>
          <w:tcPr>
            <w:tcW w:w="420"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4B0CAD14" w14:textId="6D2AFFF5" w:rsidR="001C694D" w:rsidRPr="003C206F" w:rsidRDefault="00D81989" w:rsidP="00D81989">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4</w:t>
            </w:r>
          </w:p>
        </w:tc>
        <w:tc>
          <w:tcPr>
            <w:tcW w:w="9260" w:type="dxa"/>
            <w:tcBorders>
              <w:top w:val="single" w:sz="24" w:space="0" w:color="FCC30B"/>
              <w:left w:val="single" w:sz="24" w:space="0" w:color="FCC30B"/>
              <w:bottom w:val="single" w:sz="24" w:space="0" w:color="FCC30B"/>
              <w:right w:val="single" w:sz="24" w:space="0" w:color="FCC30B"/>
            </w:tcBorders>
          </w:tcPr>
          <w:p w14:paraId="27AD8BCA" w14:textId="0F5D5A65" w:rsidR="00592ADD" w:rsidRPr="003C206F" w:rsidRDefault="00592ADD" w:rsidP="000275BA">
            <w:pPr>
              <w:pStyle w:val="NormalWeb"/>
              <w:spacing w:before="120" w:beforeAutospacing="0" w:after="120" w:afterAutospacing="0"/>
              <w:ind w:left="288" w:right="288"/>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Strategic Priority Area 4: Peace, Partnership, and Other Cross-Cutting Issues — </w:t>
            </w:r>
            <w:r w:rsidR="00454C52">
              <w:rPr>
                <w:rFonts w:ascii="Roboto" w:hAnsi="Roboto" w:cs="Calibri"/>
                <w:color w:val="404040" w:themeColor="text1" w:themeTint="BF"/>
                <w:sz w:val="21"/>
                <w:szCs w:val="21"/>
                <w:lang w:val="en-GB"/>
              </w:rPr>
              <w:t>F</w:t>
            </w:r>
            <w:r w:rsidRPr="003C206F">
              <w:rPr>
                <w:rFonts w:ascii="Roboto" w:hAnsi="Roboto" w:cs="Calibri"/>
                <w:color w:val="404040" w:themeColor="text1" w:themeTint="BF"/>
                <w:sz w:val="21"/>
                <w:szCs w:val="21"/>
                <w:lang w:val="en-GB"/>
              </w:rPr>
              <w:t>oster peaceful, just, and inclusive societies and mobili</w:t>
            </w:r>
            <w:r w:rsidR="00C866D7" w:rsidRPr="003C206F">
              <w:rPr>
                <w:rFonts w:ascii="Roboto" w:hAnsi="Roboto" w:cs="Calibri"/>
                <w:color w:val="404040" w:themeColor="text1" w:themeTint="BF"/>
                <w:sz w:val="21"/>
                <w:szCs w:val="21"/>
                <w:lang w:val="en-GB"/>
              </w:rPr>
              <w:t>z</w:t>
            </w:r>
            <w:r w:rsidRPr="003C206F">
              <w:rPr>
                <w:rFonts w:ascii="Roboto" w:hAnsi="Roboto" w:cs="Calibri"/>
                <w:color w:val="404040" w:themeColor="text1" w:themeTint="BF"/>
                <w:sz w:val="21"/>
                <w:szCs w:val="21"/>
                <w:lang w:val="en-GB"/>
              </w:rPr>
              <w:t>e the means required for implementation (SDGs 16</w:t>
            </w:r>
            <w:r w:rsidR="00DC48D9" w:rsidRPr="003C206F">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17)</w:t>
            </w:r>
          </w:p>
        </w:tc>
      </w:tr>
    </w:tbl>
    <w:p w14:paraId="09B23E91" w14:textId="7115924A" w:rsidR="000275BA" w:rsidRPr="003C206F" w:rsidRDefault="000275BA" w:rsidP="000275BA">
      <w:pPr>
        <w:pStyle w:val="NormalWeb"/>
        <w:spacing w:before="0" w:beforeAutospacing="0" w:after="0" w:afterAutospacing="0"/>
        <w:jc w:val="both"/>
        <w:rPr>
          <w:rFonts w:ascii="Roboto" w:hAnsi="Roboto" w:cs="Calibri"/>
          <w:color w:val="404040" w:themeColor="text1" w:themeTint="BF"/>
          <w:sz w:val="21"/>
          <w:szCs w:val="21"/>
          <w:lang w:val="en-GB"/>
        </w:rPr>
      </w:pPr>
    </w:p>
    <w:p w14:paraId="495CCE98" w14:textId="5A8A4E44" w:rsidR="006D21D2" w:rsidRPr="003C206F" w:rsidRDefault="006D21D2" w:rsidP="006D21D2">
      <w:pPr>
        <w:pStyle w:val="Heading1"/>
        <w:spacing w:before="0"/>
        <w:rPr>
          <w:rFonts w:ascii="Roboto" w:eastAsia="Calibri" w:hAnsi="Roboto" w:cs="Calibri"/>
          <w:b/>
          <w:bCs/>
          <w:color w:val="404040" w:themeColor="text1" w:themeTint="BF"/>
          <w:sz w:val="28"/>
          <w:szCs w:val="28"/>
          <w:lang w:val="en-GB"/>
        </w:rPr>
      </w:pPr>
      <w:bookmarkStart w:id="4" w:name="_Toc92277958"/>
      <w:bookmarkStart w:id="5" w:name="_Toc105333770"/>
      <w:r w:rsidRPr="003C206F">
        <w:rPr>
          <w:rFonts w:ascii="Roboto" w:eastAsia="Calibri" w:hAnsi="Roboto" w:cs="Calibri"/>
          <w:b/>
          <w:bCs/>
          <w:color w:val="404040" w:themeColor="text1" w:themeTint="BF"/>
          <w:sz w:val="28"/>
          <w:szCs w:val="28"/>
          <w:lang w:val="en-GB"/>
        </w:rPr>
        <w:t>The UN System Signing the UN Sustainable Development Cooperation Framework</w:t>
      </w:r>
      <w:bookmarkEnd w:id="4"/>
      <w:bookmarkEnd w:id="5"/>
    </w:p>
    <w:p w14:paraId="086E8659" w14:textId="77777777" w:rsidR="006D21D2" w:rsidRPr="003C206F" w:rsidRDefault="006D21D2" w:rsidP="006D21D2">
      <w:pPr>
        <w:ind w:right="113"/>
        <w:jc w:val="both"/>
        <w:rPr>
          <w:rFonts w:ascii="Roboto" w:hAnsi="Roboto"/>
          <w:b/>
          <w:bCs/>
          <w:color w:val="404040" w:themeColor="text1" w:themeTint="BF"/>
          <w:lang w:val="en-GB"/>
        </w:rPr>
      </w:pPr>
      <w:bookmarkStart w:id="6" w:name="_3znysh7" w:colFirst="0" w:colLast="0"/>
      <w:bookmarkEnd w:id="6"/>
    </w:p>
    <w:p w14:paraId="1324B1BE" w14:textId="77777777" w:rsidR="006D21D2" w:rsidRPr="003C206F" w:rsidRDefault="006D21D2" w:rsidP="006D21D2">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United Nations (UN) has been actively working with the Kingdom of Saudi Arabia (KSA) since 1948. The United Nations Country Team (UNCT), led by the UN Resident Coordinator, is composed of all UN entities working in or with the KSA. There </w:t>
      </w:r>
      <w:proofErr w:type="gramStart"/>
      <w:r w:rsidRPr="003C206F">
        <w:rPr>
          <w:rFonts w:ascii="Roboto" w:hAnsi="Roboto" w:cs="Calibri"/>
          <w:color w:val="404040" w:themeColor="text1" w:themeTint="BF"/>
          <w:sz w:val="21"/>
          <w:szCs w:val="21"/>
          <w:lang w:val="en-GB"/>
        </w:rPr>
        <w:t>are</w:t>
      </w:r>
      <w:proofErr w:type="gramEnd"/>
      <w:r w:rsidRPr="003C206F">
        <w:rPr>
          <w:rFonts w:ascii="Roboto" w:hAnsi="Roboto" w:cs="Calibri"/>
          <w:color w:val="404040" w:themeColor="text1" w:themeTint="BF"/>
          <w:sz w:val="21"/>
          <w:szCs w:val="21"/>
          <w:lang w:val="en-GB"/>
        </w:rPr>
        <w:t xml:space="preserve"> currently 23</w:t>
      </w:r>
      <w:r w:rsidRPr="003C206F">
        <w:rPr>
          <w:rFonts w:ascii="Roboto" w:hAnsi="Roboto" w:cs="Calibri"/>
          <w:color w:val="404040" w:themeColor="text1" w:themeTint="BF"/>
          <w:sz w:val="21"/>
          <w:szCs w:val="21"/>
          <w:vertAlign w:val="superscript"/>
          <w:lang w:val="en-GB"/>
        </w:rPr>
        <w:endnoteReference w:id="2"/>
      </w:r>
      <w:r w:rsidRPr="003C206F">
        <w:rPr>
          <w:rFonts w:ascii="Roboto" w:hAnsi="Roboto" w:cs="Calibri"/>
          <w:color w:val="404040" w:themeColor="text1" w:themeTint="BF"/>
          <w:sz w:val="21"/>
          <w:szCs w:val="21"/>
          <w:lang w:val="en-GB"/>
        </w:rPr>
        <w:t xml:space="preserve"> UN agencies, funds, and programmes (AFPs) in the UNCT. Thirteen AFPs are physically present in the KSA, three of which (OCHA, IOM, </w:t>
      </w:r>
      <w:r>
        <w:rPr>
          <w:rFonts w:ascii="Roboto" w:hAnsi="Roboto" w:cs="Calibri"/>
          <w:color w:val="404040" w:themeColor="text1" w:themeTint="BF"/>
          <w:sz w:val="21"/>
          <w:szCs w:val="21"/>
          <w:lang w:val="en-GB"/>
        </w:rPr>
        <w:t xml:space="preserve">and </w:t>
      </w:r>
      <w:r w:rsidRPr="003C206F">
        <w:rPr>
          <w:rFonts w:ascii="Roboto" w:hAnsi="Roboto" w:cs="Calibri"/>
          <w:color w:val="404040" w:themeColor="text1" w:themeTint="BF"/>
          <w:sz w:val="21"/>
          <w:szCs w:val="21"/>
          <w:lang w:val="en-GB"/>
        </w:rPr>
        <w:t>WFP) exclusively support operations in Yemen.</w:t>
      </w:r>
    </w:p>
    <w:p w14:paraId="01C37C5A" w14:textId="77777777" w:rsidR="006D21D2" w:rsidRPr="003C206F" w:rsidRDefault="006D21D2" w:rsidP="006D21D2">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The ten AFPs with offices in the KSA are the United Nations Children’s Fund (UNICEF), United Nations Development Programme (UNDP), United Nations Environment Programme (UNEP), Food and Agriculture Organization (FAO), International Fund for Agricultural Development (IFAD), World Health Organization (WHO), United Nations Human Settlements Programme (UN-</w:t>
      </w:r>
      <w:r w:rsidRPr="00645128">
        <w:rPr>
          <w:rFonts w:ascii="Roboto" w:hAnsi="Roboto" w:cs="Calibri"/>
          <w:color w:val="404040" w:themeColor="text1" w:themeTint="BF"/>
          <w:sz w:val="21"/>
          <w:szCs w:val="21"/>
          <w:lang w:val="en-GB"/>
        </w:rPr>
        <w:t>Habitat</w:t>
      </w:r>
      <w:r w:rsidRPr="003C206F">
        <w:rPr>
          <w:rFonts w:ascii="Roboto" w:hAnsi="Roboto" w:cs="Calibri"/>
          <w:color w:val="404040" w:themeColor="text1" w:themeTint="BF"/>
          <w:sz w:val="21"/>
          <w:szCs w:val="21"/>
          <w:lang w:val="en-GB"/>
        </w:rPr>
        <w:t>), Office of the United Nations High Commissioner for Human Rights (OHCHR), United Nations High Commissioner for Refugees (UNHCR), and World Bank Group (WBG).</w:t>
      </w:r>
    </w:p>
    <w:p w14:paraId="43863042" w14:textId="77777777" w:rsidR="006D21D2" w:rsidRPr="003C206F" w:rsidRDefault="006D21D2" w:rsidP="006D21D2">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The United Nations Office for the Coordination of Humanitarian Affairs (OCHA), International Organization for Migration (IOM), and World Food Programme (WFP) are</w:t>
      </w:r>
      <w:r>
        <w:rPr>
          <w:rFonts w:ascii="Roboto" w:hAnsi="Roboto" w:cs="Calibri"/>
          <w:color w:val="404040" w:themeColor="text1" w:themeTint="BF"/>
          <w:sz w:val="21"/>
          <w:szCs w:val="21"/>
          <w:lang w:val="en-GB"/>
        </w:rPr>
        <w:t xml:space="preserve"> also</w:t>
      </w:r>
      <w:r w:rsidRPr="003C206F">
        <w:rPr>
          <w:rFonts w:ascii="Roboto" w:hAnsi="Roboto" w:cs="Calibri"/>
          <w:color w:val="404040" w:themeColor="text1" w:themeTint="BF"/>
          <w:sz w:val="21"/>
          <w:szCs w:val="21"/>
          <w:lang w:val="en-GB"/>
        </w:rPr>
        <w:t xml:space="preserve"> physically present in the KSA; however, </w:t>
      </w:r>
      <w:r>
        <w:rPr>
          <w:rFonts w:ascii="Roboto" w:hAnsi="Roboto" w:cs="Calibri"/>
          <w:color w:val="404040" w:themeColor="text1" w:themeTint="BF"/>
          <w:sz w:val="21"/>
          <w:szCs w:val="21"/>
          <w:lang w:val="en-GB"/>
        </w:rPr>
        <w:t>these</w:t>
      </w:r>
      <w:r w:rsidRPr="003C206F">
        <w:rPr>
          <w:rFonts w:ascii="Roboto" w:hAnsi="Roboto" w:cs="Calibri"/>
          <w:color w:val="404040" w:themeColor="text1" w:themeTint="BF"/>
          <w:sz w:val="21"/>
          <w:szCs w:val="21"/>
          <w:lang w:val="en-GB"/>
        </w:rPr>
        <w:t xml:space="preserve"> three </w:t>
      </w:r>
      <w:r>
        <w:rPr>
          <w:rFonts w:ascii="Roboto" w:hAnsi="Roboto" w:cs="Calibri"/>
          <w:color w:val="404040" w:themeColor="text1" w:themeTint="BF"/>
          <w:sz w:val="21"/>
          <w:szCs w:val="21"/>
          <w:lang w:val="en-GB"/>
        </w:rPr>
        <w:t>office</w:t>
      </w:r>
      <w:r w:rsidRPr="003C206F">
        <w:rPr>
          <w:rFonts w:ascii="Roboto" w:hAnsi="Roboto" w:cs="Calibri"/>
          <w:color w:val="404040" w:themeColor="text1" w:themeTint="BF"/>
          <w:sz w:val="21"/>
          <w:szCs w:val="21"/>
          <w:lang w:val="en-GB"/>
        </w:rPr>
        <w:t>s focus on support</w:t>
      </w:r>
      <w:r>
        <w:rPr>
          <w:rFonts w:ascii="Roboto" w:hAnsi="Roboto" w:cs="Calibri"/>
          <w:color w:val="404040" w:themeColor="text1" w:themeTint="BF"/>
          <w:sz w:val="21"/>
          <w:szCs w:val="21"/>
          <w:lang w:val="en-GB"/>
        </w:rPr>
        <w:t xml:space="preserve">ing </w:t>
      </w:r>
      <w:r w:rsidRPr="003C206F">
        <w:rPr>
          <w:rFonts w:ascii="Roboto" w:hAnsi="Roboto" w:cs="Calibri"/>
          <w:color w:val="404040" w:themeColor="text1" w:themeTint="BF"/>
          <w:sz w:val="21"/>
          <w:szCs w:val="21"/>
          <w:lang w:val="en-GB"/>
        </w:rPr>
        <w:t>UN work in Yemen.</w:t>
      </w:r>
    </w:p>
    <w:p w14:paraId="0DF62A3A" w14:textId="77777777" w:rsidR="006D21D2" w:rsidRPr="003C206F" w:rsidRDefault="006D21D2" w:rsidP="006D21D2">
      <w:pPr>
        <w:pStyle w:val="NormalWeb"/>
        <w:spacing w:before="0" w:beforeAutospacing="0" w:after="20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The ten AFPs that operate through regional offices or headquarters in support of UN work in the KSA are the United Nations Educational, Scientific and Cultural Organization (UNESCO), International Organization for Migration (IOM), United Nations Population Fund (UNFPA), International Labour Organization (ILO), Economic and Social Commission for Western Asia (ESCWA), United Nations Entity for Gender Equality and the Empowerment of Women (UN</w:t>
      </w:r>
      <w:r>
        <w:rPr>
          <w:rFonts w:ascii="Roboto" w:hAnsi="Roboto" w:cs="Calibri"/>
          <w:color w:val="404040" w:themeColor="text1" w:themeTint="BF"/>
          <w:sz w:val="21"/>
          <w:szCs w:val="21"/>
          <w:lang w:val="en-GB"/>
        </w:rPr>
        <w:t>-</w:t>
      </w:r>
      <w:r w:rsidRPr="00645128">
        <w:rPr>
          <w:rFonts w:ascii="Roboto" w:hAnsi="Roboto" w:cs="Calibri"/>
          <w:color w:val="404040" w:themeColor="text1" w:themeTint="BF"/>
          <w:sz w:val="21"/>
          <w:szCs w:val="21"/>
          <w:lang w:val="en-GB"/>
        </w:rPr>
        <w:t>Women</w:t>
      </w:r>
      <w:r w:rsidRPr="003C206F">
        <w:rPr>
          <w:rFonts w:ascii="Roboto" w:hAnsi="Roboto" w:cs="Calibri"/>
          <w:color w:val="404040" w:themeColor="text1" w:themeTint="BF"/>
          <w:sz w:val="21"/>
          <w:szCs w:val="21"/>
          <w:lang w:val="en-GB"/>
        </w:rPr>
        <w:t>), United Nations Volunteers (UNV), United Nations Office on Drugs and Crime (UNODC), United Nations Conference on Trade and Development (UNCTAD),</w:t>
      </w:r>
      <w:r w:rsidRPr="003C206F">
        <w:rPr>
          <w:rFonts w:ascii="Roboto" w:hAnsi="Roboto" w:cs="Calibri"/>
          <w:color w:val="404040" w:themeColor="text1" w:themeTint="BF"/>
          <w:sz w:val="21"/>
          <w:szCs w:val="21"/>
          <w:vertAlign w:val="superscript"/>
          <w:lang w:val="en-GB"/>
        </w:rPr>
        <w:endnoteReference w:id="3"/>
      </w:r>
      <w:r w:rsidRPr="003C206F">
        <w:rPr>
          <w:rFonts w:ascii="Roboto" w:hAnsi="Roboto" w:cs="Calibri"/>
          <w:color w:val="404040" w:themeColor="text1" w:themeTint="BF"/>
          <w:sz w:val="21"/>
          <w:szCs w:val="21"/>
          <w:lang w:val="en-GB"/>
        </w:rPr>
        <w:t xml:space="preserve"> and United Nations Industrial Development Organization (UNIDO). </w:t>
      </w:r>
    </w:p>
    <w:p w14:paraId="153897AD" w14:textId="2C6C9F1A" w:rsidR="00871C7A" w:rsidRPr="003C206F" w:rsidRDefault="006D21D2" w:rsidP="006D21D2">
      <w:pPr>
        <w:pStyle w:val="NormalWeb"/>
        <w:spacing w:before="0" w:beforeAutospacing="0" w:after="200" w:afterAutospacing="0"/>
        <w:jc w:val="both"/>
        <w:rPr>
          <w:rFonts w:ascii="Roboto" w:hAnsi="Roboto" w:cs="Calibri"/>
          <w:b/>
          <w:bCs/>
          <w:color w:val="404040" w:themeColor="text1" w:themeTint="BF"/>
          <w:sz w:val="21"/>
          <w:szCs w:val="21"/>
          <w:lang w:val="en-GB"/>
        </w:rPr>
      </w:pPr>
      <w:r w:rsidRPr="003C206F">
        <w:rPr>
          <w:rFonts w:ascii="Roboto" w:hAnsi="Roboto" w:cs="Calibri"/>
          <w:color w:val="404040" w:themeColor="text1" w:themeTint="BF"/>
          <w:sz w:val="21"/>
          <w:szCs w:val="21"/>
          <w:lang w:val="en-GB"/>
        </w:rPr>
        <w:t>In addition, the World Tourism Organization (</w:t>
      </w:r>
      <w:r>
        <w:rPr>
          <w:rFonts w:ascii="Roboto" w:hAnsi="Roboto" w:cs="Calibri"/>
          <w:color w:val="404040" w:themeColor="text1" w:themeTint="BF"/>
          <w:sz w:val="21"/>
          <w:szCs w:val="21"/>
          <w:lang w:val="en-GB"/>
        </w:rPr>
        <w:t>UN</w:t>
      </w:r>
      <w:r w:rsidRPr="003C206F">
        <w:rPr>
          <w:rFonts w:ascii="Roboto" w:hAnsi="Roboto" w:cs="Calibri"/>
          <w:color w:val="404040" w:themeColor="text1" w:themeTint="BF"/>
          <w:sz w:val="21"/>
          <w:szCs w:val="21"/>
          <w:lang w:val="en-GB"/>
        </w:rPr>
        <w:t xml:space="preserve">WTO) is active in the KSA, having opened its MENA regional office in Riyadh in May 2021. The International Civil Aviation Organization (ICAO) is also present in the country. The </w:t>
      </w:r>
      <w:r>
        <w:rPr>
          <w:rFonts w:ascii="Roboto" w:hAnsi="Roboto" w:cs="Calibri"/>
          <w:color w:val="404040" w:themeColor="text1" w:themeTint="BF"/>
          <w:sz w:val="21"/>
          <w:szCs w:val="21"/>
          <w:lang w:val="en-GB"/>
        </w:rPr>
        <w:t>UN</w:t>
      </w:r>
      <w:r w:rsidRPr="003C206F">
        <w:rPr>
          <w:rFonts w:ascii="Roboto" w:hAnsi="Roboto" w:cs="Calibri"/>
          <w:color w:val="404040" w:themeColor="text1" w:themeTint="BF"/>
          <w:sz w:val="21"/>
          <w:szCs w:val="21"/>
          <w:lang w:val="en-GB"/>
        </w:rPr>
        <w:t>WTO and ICAO are UNCT observers, as they have not joined the UN Sustainable Development Group (UNSDG).</w:t>
      </w:r>
      <w:r w:rsidR="00EF19F6" w:rsidRPr="00EF19F6">
        <w:rPr>
          <w:noProof/>
        </w:rPr>
        <w:t xml:space="preserve"> </w:t>
      </w:r>
    </w:p>
    <w:p w14:paraId="371F740E" w14:textId="058D7BB5" w:rsidR="00871C7A" w:rsidRDefault="00871C7A" w:rsidP="00622CB6">
      <w:pPr>
        <w:rPr>
          <w:rFonts w:ascii="Roboto" w:hAnsi="Roboto"/>
          <w:b/>
          <w:bCs/>
          <w:color w:val="404040" w:themeColor="text1" w:themeTint="BF"/>
          <w:lang w:val="en-GB"/>
        </w:rPr>
      </w:pPr>
    </w:p>
    <w:p w14:paraId="41B50239" w14:textId="2FE277BA" w:rsidR="006F77B3" w:rsidRPr="003C206F" w:rsidRDefault="006F77B3" w:rsidP="00622CB6">
      <w:pPr>
        <w:rPr>
          <w:rFonts w:ascii="Roboto" w:hAnsi="Roboto"/>
          <w:b/>
          <w:bCs/>
          <w:color w:val="404040" w:themeColor="text1" w:themeTint="BF"/>
          <w:lang w:val="en-GB"/>
        </w:rPr>
      </w:pPr>
    </w:p>
    <w:p w14:paraId="43921246" w14:textId="3D89C579" w:rsidR="00871C7A" w:rsidRPr="003C206F" w:rsidRDefault="00871C7A" w:rsidP="00622CB6">
      <w:pPr>
        <w:rPr>
          <w:rFonts w:ascii="Roboto" w:hAnsi="Roboto"/>
          <w:b/>
          <w:bCs/>
          <w:color w:val="404040" w:themeColor="text1" w:themeTint="BF"/>
          <w:lang w:val="en-GB"/>
        </w:rPr>
      </w:pPr>
    </w:p>
    <w:p w14:paraId="3F196759" w14:textId="76211DF0" w:rsidR="00871C7A" w:rsidRPr="003C206F" w:rsidRDefault="00871C7A" w:rsidP="00622CB6">
      <w:pPr>
        <w:rPr>
          <w:rFonts w:ascii="Roboto" w:hAnsi="Roboto"/>
          <w:b/>
          <w:bCs/>
          <w:color w:val="404040" w:themeColor="text1" w:themeTint="BF"/>
          <w:lang w:val="en-GB"/>
        </w:rPr>
      </w:pPr>
    </w:p>
    <w:p w14:paraId="7A3B2998" w14:textId="18A87768" w:rsidR="00871C7A" w:rsidRPr="003C206F" w:rsidRDefault="00871C7A" w:rsidP="00622CB6">
      <w:pPr>
        <w:rPr>
          <w:rFonts w:ascii="Roboto" w:hAnsi="Roboto"/>
          <w:b/>
          <w:bCs/>
          <w:color w:val="404040" w:themeColor="text1" w:themeTint="BF"/>
          <w:lang w:val="en-GB"/>
        </w:rPr>
      </w:pPr>
    </w:p>
    <w:p w14:paraId="03B7990D" w14:textId="27DF7205" w:rsidR="00871C7A" w:rsidRPr="003C206F" w:rsidRDefault="00871C7A" w:rsidP="00622CB6">
      <w:pPr>
        <w:rPr>
          <w:rFonts w:ascii="Roboto" w:hAnsi="Roboto"/>
          <w:b/>
          <w:bCs/>
          <w:color w:val="404040" w:themeColor="text1" w:themeTint="BF"/>
          <w:lang w:val="en-GB"/>
        </w:rPr>
      </w:pPr>
    </w:p>
    <w:p w14:paraId="3A4683C7" w14:textId="44A194A9" w:rsidR="00871C7A" w:rsidRPr="003C206F" w:rsidRDefault="00871C7A" w:rsidP="00622CB6">
      <w:pPr>
        <w:rPr>
          <w:rFonts w:ascii="Roboto" w:hAnsi="Roboto"/>
          <w:b/>
          <w:bCs/>
          <w:color w:val="404040" w:themeColor="text1" w:themeTint="BF"/>
          <w:lang w:val="en-GB"/>
        </w:rPr>
      </w:pPr>
    </w:p>
    <w:p w14:paraId="4CB41D5E" w14:textId="217182D4" w:rsidR="00871C7A" w:rsidRPr="003C206F" w:rsidRDefault="00871C7A" w:rsidP="00622CB6">
      <w:pPr>
        <w:rPr>
          <w:rFonts w:ascii="Roboto" w:hAnsi="Roboto"/>
          <w:color w:val="404040" w:themeColor="text1" w:themeTint="BF"/>
          <w:lang w:val="en-GB"/>
        </w:rPr>
      </w:pPr>
    </w:p>
    <w:p w14:paraId="5A4CD979" w14:textId="7D9F66FF" w:rsidR="00871C7A" w:rsidRPr="003C206F" w:rsidRDefault="00871C7A" w:rsidP="00622CB6">
      <w:pPr>
        <w:rPr>
          <w:rFonts w:ascii="Roboto" w:hAnsi="Roboto"/>
          <w:color w:val="404040" w:themeColor="text1" w:themeTint="BF"/>
          <w:highlight w:val="yellow"/>
          <w:lang w:val="en-GB"/>
        </w:rPr>
      </w:pPr>
    </w:p>
    <w:p w14:paraId="184B3302" w14:textId="0C5EAC92" w:rsidR="00871C7A" w:rsidRDefault="00871C7A" w:rsidP="00622CB6">
      <w:pPr>
        <w:rPr>
          <w:rFonts w:ascii="Roboto" w:hAnsi="Roboto"/>
          <w:color w:val="404040" w:themeColor="text1" w:themeTint="BF"/>
          <w:highlight w:val="yellow"/>
          <w:lang w:val="en-GB"/>
        </w:rPr>
      </w:pPr>
    </w:p>
    <w:p w14:paraId="4129118A" w14:textId="6071E70C" w:rsidR="00871C7A" w:rsidRDefault="00871C7A" w:rsidP="00622CB6">
      <w:pPr>
        <w:rPr>
          <w:rFonts w:ascii="Roboto" w:hAnsi="Roboto"/>
          <w:color w:val="404040" w:themeColor="text1" w:themeTint="BF"/>
          <w:highlight w:val="yellow"/>
          <w:lang w:val="en-GB"/>
        </w:rPr>
      </w:pPr>
    </w:p>
    <w:p w14:paraId="1949D0BC" w14:textId="12B6C6BA" w:rsidR="00871C7A" w:rsidRPr="003C206F" w:rsidRDefault="00871C7A" w:rsidP="00622CB6">
      <w:pPr>
        <w:rPr>
          <w:rFonts w:ascii="Roboto" w:hAnsi="Roboto"/>
          <w:color w:val="404040" w:themeColor="text1" w:themeTint="BF"/>
          <w:highlight w:val="yellow"/>
          <w:lang w:val="en-GB"/>
        </w:rPr>
      </w:pPr>
    </w:p>
    <w:p w14:paraId="752FEE46" w14:textId="75D79865" w:rsidR="00871C7A" w:rsidRPr="003C206F" w:rsidRDefault="00871C7A" w:rsidP="00622CB6">
      <w:pPr>
        <w:rPr>
          <w:rFonts w:ascii="Roboto" w:hAnsi="Roboto"/>
          <w:color w:val="404040" w:themeColor="text1" w:themeTint="BF"/>
          <w:highlight w:val="yellow"/>
          <w:lang w:val="en-GB"/>
        </w:rPr>
      </w:pPr>
    </w:p>
    <w:p w14:paraId="037990CE" w14:textId="35C208ED" w:rsidR="00871C7A" w:rsidRPr="003C206F" w:rsidRDefault="00871C7A" w:rsidP="00622CB6">
      <w:pPr>
        <w:rPr>
          <w:rFonts w:ascii="Roboto" w:hAnsi="Roboto"/>
          <w:color w:val="404040" w:themeColor="text1" w:themeTint="BF"/>
          <w:highlight w:val="yellow"/>
          <w:lang w:val="en-GB"/>
        </w:rPr>
      </w:pPr>
    </w:p>
    <w:p w14:paraId="5BD3A34D" w14:textId="27E47098" w:rsidR="00871C7A" w:rsidRPr="003C206F" w:rsidRDefault="00871C7A" w:rsidP="00622CB6">
      <w:pPr>
        <w:rPr>
          <w:rFonts w:ascii="Roboto" w:hAnsi="Roboto"/>
          <w:color w:val="404040" w:themeColor="text1" w:themeTint="BF"/>
          <w:highlight w:val="yellow"/>
          <w:lang w:val="en-GB"/>
        </w:rPr>
      </w:pPr>
    </w:p>
    <w:p w14:paraId="09F94FAF" w14:textId="1C48B445" w:rsidR="00871C7A" w:rsidRPr="003C206F" w:rsidRDefault="00871C7A" w:rsidP="00622CB6">
      <w:pPr>
        <w:rPr>
          <w:rFonts w:ascii="Roboto" w:hAnsi="Roboto"/>
          <w:color w:val="404040" w:themeColor="text1" w:themeTint="BF"/>
          <w:highlight w:val="yellow"/>
          <w:lang w:val="en-GB"/>
        </w:rPr>
      </w:pPr>
    </w:p>
    <w:p w14:paraId="132B3324" w14:textId="1FC1C502" w:rsidR="00871C7A" w:rsidRPr="003C206F" w:rsidRDefault="00871C7A" w:rsidP="00622CB6">
      <w:pPr>
        <w:rPr>
          <w:rFonts w:ascii="Roboto" w:hAnsi="Roboto"/>
          <w:color w:val="404040" w:themeColor="text1" w:themeTint="BF"/>
          <w:highlight w:val="yellow"/>
          <w:lang w:val="en-GB"/>
        </w:rPr>
      </w:pPr>
    </w:p>
    <w:p w14:paraId="5955A172" w14:textId="4D53D1A7" w:rsidR="00871C7A" w:rsidRPr="003C206F" w:rsidRDefault="00871C7A" w:rsidP="00622CB6">
      <w:pPr>
        <w:rPr>
          <w:rFonts w:ascii="Roboto" w:hAnsi="Roboto"/>
          <w:color w:val="404040" w:themeColor="text1" w:themeTint="BF"/>
          <w:highlight w:val="yellow"/>
          <w:lang w:val="en-GB"/>
        </w:rPr>
      </w:pPr>
    </w:p>
    <w:p w14:paraId="4213D14F" w14:textId="4F3AF3AC" w:rsidR="00871C7A" w:rsidRPr="003C206F" w:rsidRDefault="00871C7A" w:rsidP="00B75FE6">
      <w:pPr>
        <w:rPr>
          <w:rFonts w:ascii="Roboto" w:eastAsiaTheme="majorEastAsia" w:hAnsi="Roboto" w:cstheme="majorBidi"/>
          <w:color w:val="404040" w:themeColor="text1" w:themeTint="BF"/>
          <w:sz w:val="32"/>
          <w:szCs w:val="32"/>
          <w:lang w:val="en-GB"/>
        </w:rPr>
      </w:pPr>
      <w:r w:rsidRPr="003C206F">
        <w:rPr>
          <w:rFonts w:ascii="Roboto" w:hAnsi="Roboto"/>
          <w:color w:val="404040" w:themeColor="text1" w:themeTint="BF"/>
          <w:lang w:val="en-GB"/>
        </w:rPr>
        <w:lastRenderedPageBreak/>
        <w:t xml:space="preserve"> </w:t>
      </w:r>
    </w:p>
    <w:p w14:paraId="5A9B2A39" w14:textId="72E0264C" w:rsidR="007A5800" w:rsidRPr="003C206F" w:rsidRDefault="007A5800" w:rsidP="007A5800">
      <w:pPr>
        <w:pStyle w:val="Heading1"/>
        <w:spacing w:before="0"/>
        <w:ind w:left="-144" w:right="-144"/>
        <w:rPr>
          <w:rFonts w:ascii="Roboto" w:hAnsi="Roboto"/>
          <w:b/>
          <w:bCs/>
          <w:color w:val="404040" w:themeColor="text1" w:themeTint="BF"/>
          <w:sz w:val="28"/>
          <w:szCs w:val="28"/>
          <w:lang w:val="en-GB"/>
        </w:rPr>
      </w:pPr>
      <w:bookmarkStart w:id="7" w:name="_Toc92277959"/>
      <w:bookmarkStart w:id="8" w:name="_Toc105333771"/>
      <w:r w:rsidRPr="003C206F">
        <w:rPr>
          <w:rFonts w:ascii="Roboto" w:hAnsi="Roboto"/>
          <w:b/>
          <w:bCs/>
          <w:color w:val="404040" w:themeColor="text1" w:themeTint="BF"/>
          <w:sz w:val="28"/>
          <w:szCs w:val="28"/>
          <w:lang w:val="en-GB"/>
        </w:rPr>
        <w:t>Executive Summary</w:t>
      </w:r>
      <w:bookmarkStart w:id="9" w:name="_Hlk83115850"/>
      <w:bookmarkEnd w:id="7"/>
      <w:bookmarkEnd w:id="8"/>
    </w:p>
    <w:p w14:paraId="0DAFAECB" w14:textId="77777777" w:rsidR="007A5800" w:rsidRPr="00645128" w:rsidRDefault="007A5800" w:rsidP="007A5800">
      <w:pPr>
        <w:ind w:left="-144" w:right="-144"/>
        <w:contextualSpacing/>
        <w:jc w:val="both"/>
        <w:rPr>
          <w:rFonts w:ascii="Roboto" w:eastAsia="Calibri" w:hAnsi="Roboto" w:cs="Calibri"/>
          <w:color w:val="404040" w:themeColor="text1" w:themeTint="BF"/>
          <w:sz w:val="21"/>
          <w:szCs w:val="21"/>
          <w:lang w:val="en-GB"/>
        </w:rPr>
      </w:pPr>
    </w:p>
    <w:p w14:paraId="27D14C4F" w14:textId="77777777" w:rsidR="007A5800" w:rsidRPr="00645128" w:rsidRDefault="007A5800" w:rsidP="007A5800">
      <w:pPr>
        <w:ind w:left="-144" w:right="-144"/>
        <w:jc w:val="both"/>
        <w:rPr>
          <w:rFonts w:ascii="Roboto" w:hAnsi="Roboto"/>
          <w:color w:val="404040" w:themeColor="text1" w:themeTint="BF"/>
          <w:sz w:val="21"/>
          <w:szCs w:val="21"/>
          <w:lang w:val="en-GB"/>
        </w:rPr>
      </w:pPr>
      <w:r w:rsidRPr="00645128">
        <w:rPr>
          <w:rFonts w:ascii="Roboto" w:hAnsi="Roboto"/>
          <w:color w:val="404040" w:themeColor="text1" w:themeTint="BF"/>
          <w:sz w:val="21"/>
          <w:szCs w:val="21"/>
          <w:lang w:val="en-GB"/>
        </w:rPr>
        <w:t>Rooted in the Reform of the U</w:t>
      </w:r>
      <w:r>
        <w:rPr>
          <w:rFonts w:ascii="Roboto" w:hAnsi="Roboto"/>
          <w:color w:val="404040" w:themeColor="text1" w:themeTint="BF"/>
          <w:sz w:val="21"/>
          <w:szCs w:val="21"/>
          <w:lang w:val="en-GB"/>
        </w:rPr>
        <w:t xml:space="preserve">nited </w:t>
      </w:r>
      <w:r w:rsidRPr="00645128">
        <w:rPr>
          <w:rFonts w:ascii="Roboto" w:hAnsi="Roboto"/>
          <w:color w:val="404040" w:themeColor="text1" w:themeTint="BF"/>
          <w:sz w:val="21"/>
          <w:szCs w:val="21"/>
          <w:lang w:val="en-GB"/>
        </w:rPr>
        <w:t>N</w:t>
      </w:r>
      <w:r>
        <w:rPr>
          <w:rFonts w:ascii="Roboto" w:hAnsi="Roboto"/>
          <w:color w:val="404040" w:themeColor="text1" w:themeTint="BF"/>
          <w:sz w:val="21"/>
          <w:szCs w:val="21"/>
          <w:lang w:val="en-GB"/>
        </w:rPr>
        <w:t>ations (UN)</w:t>
      </w:r>
      <w:r w:rsidRPr="00645128">
        <w:rPr>
          <w:rFonts w:ascii="Roboto" w:hAnsi="Roboto"/>
          <w:color w:val="404040" w:themeColor="text1" w:themeTint="BF"/>
          <w:sz w:val="21"/>
          <w:szCs w:val="21"/>
          <w:lang w:val="en-GB"/>
        </w:rPr>
        <w:t xml:space="preserve"> development system, the new UN Sustainable Development Cooperation Framework (UNSDCF) for the Kingdom of Saudi Arabia (KSA) 2022–2026 reflects the changing dynamics and needs of the country, the region, and the world, as well as an evolved UN response to address remaining and emerging development challenges at the national and subnational level in the country and in partnership with the Government of the KSA.  </w:t>
      </w:r>
    </w:p>
    <w:p w14:paraId="23692CC5" w14:textId="77777777" w:rsidR="007A5800" w:rsidRPr="00645128" w:rsidRDefault="007A5800" w:rsidP="007A5800">
      <w:pPr>
        <w:ind w:left="-144" w:right="-144"/>
        <w:rPr>
          <w:rFonts w:ascii="Roboto" w:hAnsi="Roboto"/>
          <w:color w:val="404040" w:themeColor="text1" w:themeTint="BF"/>
          <w:sz w:val="21"/>
          <w:szCs w:val="21"/>
          <w:lang w:val="en-GB"/>
        </w:rPr>
      </w:pPr>
    </w:p>
    <w:p w14:paraId="2D1C041A" w14:textId="5CB238BD" w:rsidR="00B3459C" w:rsidRDefault="007A5800" w:rsidP="007A5800">
      <w:pPr>
        <w:ind w:left="-144" w:right="-144"/>
        <w:jc w:val="both"/>
        <w:rPr>
          <w:rFonts w:ascii="Roboto" w:hAnsi="Roboto"/>
          <w:color w:val="404040" w:themeColor="text1" w:themeTint="BF"/>
          <w:sz w:val="21"/>
          <w:szCs w:val="21"/>
          <w:lang w:val="en-GB"/>
        </w:rPr>
      </w:pPr>
      <w:r w:rsidRPr="00645128">
        <w:rPr>
          <w:rFonts w:ascii="Roboto" w:hAnsi="Roboto"/>
          <w:color w:val="404040" w:themeColor="text1" w:themeTint="BF"/>
          <w:sz w:val="21"/>
          <w:szCs w:val="21"/>
          <w:lang w:val="en-GB"/>
        </w:rPr>
        <w:t xml:space="preserve">The UNSDCF 2022–2026 is a dynamic and living document </w:t>
      </w:r>
      <w:r w:rsidR="00DC67E2">
        <w:rPr>
          <w:rFonts w:ascii="Roboto" w:hAnsi="Roboto"/>
          <w:color w:val="404040" w:themeColor="text1" w:themeTint="BF"/>
          <w:sz w:val="21"/>
          <w:szCs w:val="21"/>
          <w:lang w:val="en-GB"/>
        </w:rPr>
        <w:t>that aims</w:t>
      </w:r>
      <w:r w:rsidR="00DC67E2" w:rsidRPr="00645128">
        <w:rPr>
          <w:rFonts w:ascii="Roboto" w:hAnsi="Roboto"/>
          <w:color w:val="404040" w:themeColor="text1" w:themeTint="BF"/>
          <w:sz w:val="21"/>
          <w:szCs w:val="21"/>
          <w:lang w:val="en-GB"/>
        </w:rPr>
        <w:t xml:space="preserve"> </w:t>
      </w:r>
      <w:r w:rsidRPr="00645128">
        <w:rPr>
          <w:rFonts w:ascii="Roboto" w:hAnsi="Roboto"/>
          <w:color w:val="404040" w:themeColor="text1" w:themeTint="BF"/>
          <w:sz w:val="21"/>
          <w:szCs w:val="21"/>
          <w:lang w:val="en-GB"/>
        </w:rPr>
        <w:t xml:space="preserve">to enable the UN development system’s response to emerging challenges. It represents an agreement as to the contributions of the UNCT to the pursuit of the KSA’s Vision 2030, which the Government aims to achieve by </w:t>
      </w:r>
      <w:r w:rsidR="00DC67E2">
        <w:rPr>
          <w:rFonts w:ascii="Roboto" w:hAnsi="Roboto"/>
          <w:color w:val="404040" w:themeColor="text1" w:themeTint="BF"/>
          <w:sz w:val="21"/>
          <w:szCs w:val="21"/>
          <w:lang w:val="en-GB"/>
        </w:rPr>
        <w:t>the end of 2030</w:t>
      </w:r>
      <w:r w:rsidR="00B3459C">
        <w:rPr>
          <w:rFonts w:ascii="Roboto" w:hAnsi="Roboto"/>
          <w:color w:val="404040" w:themeColor="text1" w:themeTint="BF"/>
          <w:sz w:val="21"/>
          <w:szCs w:val="21"/>
          <w:lang w:val="en-GB"/>
        </w:rPr>
        <w:t>:</w:t>
      </w:r>
      <w:r w:rsidR="00DC67E2">
        <w:rPr>
          <w:rFonts w:ascii="Roboto" w:hAnsi="Roboto"/>
          <w:color w:val="404040" w:themeColor="text1" w:themeTint="BF"/>
          <w:sz w:val="21"/>
          <w:szCs w:val="21"/>
          <w:lang w:val="en-GB"/>
        </w:rPr>
        <w:t xml:space="preserve"> </w:t>
      </w:r>
    </w:p>
    <w:p w14:paraId="5C811283" w14:textId="53F39301" w:rsidR="00B3459C" w:rsidRDefault="00B3459C" w:rsidP="00B3459C">
      <w:pPr>
        <w:pStyle w:val="ListParagraph"/>
        <w:numPr>
          <w:ilvl w:val="0"/>
          <w:numId w:val="40"/>
        </w:numPr>
        <w:ind w:right="-144"/>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A</w:t>
      </w:r>
      <w:r w:rsidR="007A5800" w:rsidRPr="0093362E">
        <w:rPr>
          <w:rFonts w:ascii="Roboto" w:hAnsi="Roboto"/>
          <w:color w:val="404040" w:themeColor="text1" w:themeTint="BF"/>
          <w:sz w:val="21"/>
          <w:szCs w:val="21"/>
          <w:lang w:val="en-GB"/>
        </w:rPr>
        <w:t>ccelerate the KSA’s path to achieving the Sustainable Development Goals (SDGs</w:t>
      </w:r>
      <w:proofErr w:type="gramStart"/>
      <w:r w:rsidR="007A5800" w:rsidRPr="0093362E">
        <w:rPr>
          <w:rFonts w:ascii="Roboto" w:hAnsi="Roboto"/>
          <w:color w:val="404040" w:themeColor="text1" w:themeTint="BF"/>
          <w:sz w:val="21"/>
          <w:szCs w:val="21"/>
          <w:lang w:val="en-GB"/>
        </w:rPr>
        <w:t>);</w:t>
      </w:r>
      <w:proofErr w:type="gramEnd"/>
      <w:r w:rsidR="007A5800" w:rsidRPr="0093362E">
        <w:rPr>
          <w:rFonts w:ascii="Roboto" w:hAnsi="Roboto"/>
          <w:color w:val="404040" w:themeColor="text1" w:themeTint="BF"/>
          <w:sz w:val="21"/>
          <w:szCs w:val="21"/>
          <w:lang w:val="en-GB"/>
        </w:rPr>
        <w:t xml:space="preserve"> </w:t>
      </w:r>
    </w:p>
    <w:p w14:paraId="01A5C934" w14:textId="49845130" w:rsidR="00B3459C" w:rsidRDefault="00B3459C" w:rsidP="00B3459C">
      <w:pPr>
        <w:pStyle w:val="ListParagraph"/>
        <w:numPr>
          <w:ilvl w:val="0"/>
          <w:numId w:val="40"/>
        </w:numPr>
        <w:ind w:right="-144"/>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P</w:t>
      </w:r>
      <w:r w:rsidR="007A5800" w:rsidRPr="00431CB7">
        <w:rPr>
          <w:rFonts w:ascii="Roboto" w:hAnsi="Roboto"/>
          <w:color w:val="404040" w:themeColor="text1" w:themeTint="BF"/>
          <w:sz w:val="21"/>
          <w:szCs w:val="21"/>
          <w:lang w:val="en-GB"/>
        </w:rPr>
        <w:t xml:space="preserve">rovide clear and strategic direction and prioritization of the collective work of participating agencies, funds, and programs (AFPs) in supporting national priorities and needs; and </w:t>
      </w:r>
    </w:p>
    <w:p w14:paraId="7557D5A4" w14:textId="22D8CE25" w:rsidR="00B3459C" w:rsidRDefault="00FF1BBE" w:rsidP="00B3459C">
      <w:pPr>
        <w:pStyle w:val="ListParagraph"/>
        <w:numPr>
          <w:ilvl w:val="0"/>
          <w:numId w:val="40"/>
        </w:numPr>
        <w:ind w:right="-144"/>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Construct</w:t>
      </w:r>
      <w:r w:rsidR="007A5800" w:rsidRPr="0093362E">
        <w:rPr>
          <w:rFonts w:ascii="Roboto" w:hAnsi="Roboto"/>
          <w:color w:val="404040" w:themeColor="text1" w:themeTint="BF"/>
          <w:sz w:val="21"/>
          <w:szCs w:val="21"/>
          <w:lang w:val="en-GB"/>
        </w:rPr>
        <w:t xml:space="preserve"> an accountability framework for the inclusive and participatory monitoring of progress towards key milestones and the evaluation of results. </w:t>
      </w:r>
    </w:p>
    <w:p w14:paraId="07687506" w14:textId="77777777" w:rsidR="00BB7E3E" w:rsidRDefault="00BB7E3E">
      <w:pPr>
        <w:ind w:right="-144"/>
        <w:jc w:val="both"/>
        <w:rPr>
          <w:rFonts w:ascii="Roboto" w:hAnsi="Roboto"/>
          <w:color w:val="404040" w:themeColor="text1" w:themeTint="BF"/>
          <w:sz w:val="21"/>
          <w:szCs w:val="21"/>
          <w:lang w:val="en-GB"/>
        </w:rPr>
      </w:pPr>
    </w:p>
    <w:p w14:paraId="14E752A4" w14:textId="3F7CC029" w:rsidR="007A5800" w:rsidRPr="0093362E" w:rsidRDefault="007A5800" w:rsidP="0093362E">
      <w:pPr>
        <w:ind w:left="-180" w:right="-144"/>
        <w:jc w:val="both"/>
        <w:rPr>
          <w:rFonts w:ascii="Roboto" w:hAnsi="Roboto"/>
          <w:color w:val="404040" w:themeColor="text1" w:themeTint="BF"/>
          <w:sz w:val="21"/>
          <w:szCs w:val="21"/>
          <w:lang w:val="en-GB"/>
        </w:rPr>
      </w:pPr>
      <w:r w:rsidRPr="0093362E">
        <w:rPr>
          <w:rFonts w:ascii="Roboto" w:hAnsi="Roboto"/>
          <w:color w:val="404040" w:themeColor="text1" w:themeTint="BF"/>
          <w:sz w:val="21"/>
          <w:szCs w:val="21"/>
          <w:lang w:val="en-GB"/>
        </w:rPr>
        <w:t xml:space="preserve">The UNSDCF 2022–2026 will be reviewed yearly under the direction of the UNCT and the Joint UN – Government of the KSA </w:t>
      </w:r>
      <w:r w:rsidR="000B79D4">
        <w:rPr>
          <w:rFonts w:ascii="Roboto" w:hAnsi="Roboto" w:cs="Calibri"/>
          <w:color w:val="404040" w:themeColor="text1" w:themeTint="BF"/>
          <w:sz w:val="21"/>
          <w:szCs w:val="21"/>
          <w:lang w:val="en-GB"/>
        </w:rPr>
        <w:t>Cooperation Framework (CF)</w:t>
      </w:r>
      <w:r w:rsidR="000B79D4" w:rsidRPr="0093362E">
        <w:rPr>
          <w:rFonts w:ascii="Roboto" w:hAnsi="Roboto"/>
          <w:color w:val="404040" w:themeColor="text1" w:themeTint="BF"/>
          <w:sz w:val="21"/>
          <w:szCs w:val="21"/>
          <w:lang w:val="en-GB"/>
        </w:rPr>
        <w:t xml:space="preserve"> </w:t>
      </w:r>
      <w:r w:rsidRPr="0093362E">
        <w:rPr>
          <w:rFonts w:ascii="Roboto" w:hAnsi="Roboto"/>
          <w:color w:val="404040" w:themeColor="text1" w:themeTint="BF"/>
          <w:sz w:val="21"/>
          <w:szCs w:val="21"/>
          <w:lang w:val="en-GB"/>
        </w:rPr>
        <w:t>Committee. To this end, the Results Matrices presented in the UNSDCF are a summary of the broad UN cooperation matrix, which is an integral part of the UNSDCF and its Monitoring and Evaluation Framework (MEF)</w:t>
      </w:r>
      <w:r w:rsidR="00DC67E2" w:rsidRPr="0093362E">
        <w:rPr>
          <w:rFonts w:ascii="Roboto" w:hAnsi="Roboto"/>
          <w:color w:val="404040" w:themeColor="text1" w:themeTint="BF"/>
          <w:sz w:val="21"/>
          <w:szCs w:val="21"/>
          <w:lang w:val="en-GB"/>
        </w:rPr>
        <w:t>;</w:t>
      </w:r>
      <w:r w:rsidRPr="0093362E">
        <w:rPr>
          <w:rFonts w:ascii="Roboto" w:hAnsi="Roboto"/>
          <w:color w:val="404040" w:themeColor="text1" w:themeTint="BF"/>
          <w:sz w:val="21"/>
          <w:szCs w:val="21"/>
          <w:lang w:val="en-GB"/>
        </w:rPr>
        <w:t xml:space="preserve"> </w:t>
      </w:r>
      <w:r w:rsidR="00DC67E2" w:rsidRPr="0093362E">
        <w:rPr>
          <w:rFonts w:ascii="Roboto" w:hAnsi="Roboto"/>
          <w:color w:val="404040" w:themeColor="text1" w:themeTint="BF"/>
          <w:sz w:val="21"/>
          <w:szCs w:val="21"/>
          <w:lang w:val="en-GB"/>
        </w:rPr>
        <w:t xml:space="preserve">it </w:t>
      </w:r>
      <w:r w:rsidRPr="0093362E">
        <w:rPr>
          <w:rFonts w:ascii="Roboto" w:hAnsi="Roboto"/>
          <w:color w:val="404040" w:themeColor="text1" w:themeTint="BF"/>
          <w:sz w:val="21"/>
          <w:szCs w:val="21"/>
          <w:lang w:val="en-GB"/>
        </w:rPr>
        <w:t>list</w:t>
      </w:r>
      <w:r w:rsidR="00DC67E2" w:rsidRPr="0093362E">
        <w:rPr>
          <w:rFonts w:ascii="Roboto" w:hAnsi="Roboto"/>
          <w:color w:val="404040" w:themeColor="text1" w:themeTint="BF"/>
          <w:sz w:val="21"/>
          <w:szCs w:val="21"/>
          <w:lang w:val="en-GB"/>
        </w:rPr>
        <w:t>s</w:t>
      </w:r>
      <w:r w:rsidRPr="0093362E">
        <w:rPr>
          <w:rFonts w:ascii="Roboto" w:hAnsi="Roboto"/>
          <w:color w:val="404040" w:themeColor="text1" w:themeTint="BF"/>
          <w:sz w:val="21"/>
          <w:szCs w:val="21"/>
          <w:lang w:val="en-GB"/>
        </w:rPr>
        <w:t xml:space="preserve"> all UN activities within the KSA and link</w:t>
      </w:r>
      <w:r w:rsidR="00DC67E2" w:rsidRPr="0093362E">
        <w:rPr>
          <w:rFonts w:ascii="Roboto" w:hAnsi="Roboto"/>
          <w:color w:val="404040" w:themeColor="text1" w:themeTint="BF"/>
          <w:sz w:val="21"/>
          <w:szCs w:val="21"/>
          <w:lang w:val="en-GB"/>
        </w:rPr>
        <w:t>s</w:t>
      </w:r>
      <w:r w:rsidRPr="0093362E">
        <w:rPr>
          <w:rFonts w:ascii="Roboto" w:hAnsi="Roboto"/>
          <w:color w:val="404040" w:themeColor="text1" w:themeTint="BF"/>
          <w:sz w:val="21"/>
          <w:szCs w:val="21"/>
          <w:lang w:val="en-GB"/>
        </w:rPr>
        <w:t xml:space="preserve"> them to the SDGs, SDG targets, and SDG indicators, as well as to </w:t>
      </w:r>
      <w:r w:rsidR="00E719CA">
        <w:rPr>
          <w:rFonts w:ascii="Roboto" w:hAnsi="Roboto"/>
          <w:color w:val="404040" w:themeColor="text1" w:themeTint="BF"/>
          <w:sz w:val="21"/>
          <w:szCs w:val="21"/>
          <w:lang w:val="en-GB"/>
        </w:rPr>
        <w:t xml:space="preserve">the </w:t>
      </w:r>
      <w:r w:rsidR="00E719CA">
        <w:rPr>
          <w:rFonts w:ascii="Roboto" w:hAnsi="Roboto" w:cs="Calibri"/>
          <w:color w:val="404040" w:themeColor="text1" w:themeTint="BF"/>
          <w:sz w:val="21"/>
          <w:szCs w:val="21"/>
          <w:lang w:val="en-GB"/>
        </w:rPr>
        <w:t xml:space="preserve">KSA’s </w:t>
      </w:r>
      <w:r w:rsidRPr="0093362E">
        <w:rPr>
          <w:rFonts w:ascii="Roboto" w:hAnsi="Roboto"/>
          <w:color w:val="404040" w:themeColor="text1" w:themeTint="BF"/>
          <w:sz w:val="21"/>
          <w:szCs w:val="21"/>
          <w:lang w:val="en-GB"/>
        </w:rPr>
        <w:t>Vision 2030 strategic objectives. In addition, the Results Matrices provide links to the SDG indicators, Sustainable Development Report (SDR) Index indicators, additional process-based indicators under the direct influence of the UN, and the Government’s KPIs.</w:t>
      </w:r>
    </w:p>
    <w:p w14:paraId="095A2596" w14:textId="77777777" w:rsidR="007A5800" w:rsidRPr="00645128" w:rsidRDefault="007A5800" w:rsidP="007A5800">
      <w:pPr>
        <w:ind w:left="-144" w:right="-144"/>
        <w:rPr>
          <w:rFonts w:ascii="Roboto" w:hAnsi="Roboto"/>
          <w:color w:val="404040" w:themeColor="text1" w:themeTint="BF"/>
          <w:sz w:val="21"/>
          <w:szCs w:val="21"/>
          <w:lang w:val="en-GB"/>
        </w:rPr>
      </w:pPr>
    </w:p>
    <w:p w14:paraId="6260B452" w14:textId="588FBBBC" w:rsidR="007A5800" w:rsidRPr="00645128" w:rsidRDefault="007A5800" w:rsidP="007A5800">
      <w:pPr>
        <w:ind w:left="-144" w:right="-144"/>
        <w:jc w:val="both"/>
        <w:rPr>
          <w:rFonts w:ascii="Roboto" w:hAnsi="Roboto"/>
          <w:color w:val="404040" w:themeColor="text1" w:themeTint="BF"/>
          <w:sz w:val="21"/>
          <w:szCs w:val="21"/>
          <w:lang w:val="en-GB"/>
        </w:rPr>
      </w:pPr>
      <w:r w:rsidRPr="00645128">
        <w:rPr>
          <w:rFonts w:ascii="Roboto" w:hAnsi="Roboto"/>
          <w:color w:val="404040" w:themeColor="text1" w:themeTint="BF"/>
          <w:sz w:val="21"/>
          <w:szCs w:val="21"/>
          <w:lang w:val="en-GB"/>
        </w:rPr>
        <w:t xml:space="preserve">We develop the UNSDCF’s strategic priorities with a </w:t>
      </w:r>
      <w:r>
        <w:rPr>
          <w:rFonts w:ascii="Roboto" w:hAnsi="Roboto"/>
          <w:color w:val="404040" w:themeColor="text1" w:themeTint="BF"/>
          <w:sz w:val="21"/>
          <w:szCs w:val="21"/>
          <w:lang w:val="en-GB"/>
        </w:rPr>
        <w:t>multidimensional</w:t>
      </w:r>
      <w:r w:rsidRPr="00645128">
        <w:rPr>
          <w:rFonts w:ascii="Roboto" w:hAnsi="Roboto"/>
          <w:color w:val="404040" w:themeColor="text1" w:themeTint="BF"/>
          <w:sz w:val="21"/>
          <w:szCs w:val="21"/>
          <w:lang w:val="en-GB"/>
        </w:rPr>
        <w:t xml:space="preserve"> approach to both the </w:t>
      </w:r>
      <w:r w:rsidRPr="003C206F">
        <w:rPr>
          <w:rFonts w:ascii="Roboto" w:hAnsi="Roboto" w:cs="Calibri"/>
          <w:color w:val="404040" w:themeColor="text1" w:themeTint="BF"/>
          <w:sz w:val="21"/>
          <w:szCs w:val="21"/>
          <w:lang w:val="en-GB"/>
        </w:rPr>
        <w:t>U</w:t>
      </w:r>
      <w:r>
        <w:rPr>
          <w:rFonts w:ascii="Roboto" w:hAnsi="Roboto" w:cs="Calibri"/>
          <w:color w:val="404040" w:themeColor="text1" w:themeTint="BF"/>
          <w:sz w:val="21"/>
          <w:szCs w:val="21"/>
          <w:lang w:val="en-GB"/>
        </w:rPr>
        <w:t>N</w:t>
      </w:r>
      <w:r w:rsidR="002704D0">
        <w:rPr>
          <w:rFonts w:ascii="Roboto" w:hAnsi="Roboto" w:cs="Calibri"/>
          <w:color w:val="404040" w:themeColor="text1" w:themeTint="BF"/>
          <w:sz w:val="21"/>
          <w:szCs w:val="21"/>
          <w:lang w:val="en-GB"/>
        </w:rPr>
        <w:t>’s</w:t>
      </w:r>
      <w:r w:rsidRPr="003C206F">
        <w:rPr>
          <w:rFonts w:ascii="Roboto" w:hAnsi="Roboto" w:cs="Calibri"/>
          <w:color w:val="404040" w:themeColor="text1" w:themeTint="BF"/>
          <w:sz w:val="21"/>
          <w:szCs w:val="21"/>
          <w:lang w:val="en-GB"/>
        </w:rPr>
        <w:t xml:space="preserve"> 2030 Agenda for Sustainable Development</w:t>
      </w:r>
      <w:r w:rsidRPr="00645128">
        <w:rPr>
          <w:rFonts w:ascii="Roboto" w:hAnsi="Roboto"/>
          <w:color w:val="404040" w:themeColor="text1" w:themeTint="BF"/>
          <w:sz w:val="21"/>
          <w:szCs w:val="21"/>
          <w:lang w:val="en-GB"/>
        </w:rPr>
        <w:t xml:space="preserve"> (</w:t>
      </w:r>
      <w:r w:rsidR="00C95AF3">
        <w:rPr>
          <w:rFonts w:ascii="Roboto" w:hAnsi="Roboto" w:cs="Calibri"/>
          <w:color w:val="404040" w:themeColor="text1" w:themeTint="BF"/>
          <w:sz w:val="21"/>
          <w:szCs w:val="21"/>
          <w:lang w:val="en-GB"/>
        </w:rPr>
        <w:t xml:space="preserve">UN’s </w:t>
      </w:r>
      <w:r w:rsidRPr="00645128">
        <w:rPr>
          <w:rFonts w:ascii="Roboto" w:hAnsi="Roboto"/>
          <w:color w:val="404040" w:themeColor="text1" w:themeTint="BF"/>
          <w:sz w:val="21"/>
          <w:szCs w:val="21"/>
          <w:lang w:val="en-GB"/>
        </w:rPr>
        <w:t xml:space="preserve">2030 Agenda) and the KSA’s Vision 2030, identifying linkages and cross-linkages and ultimately setting up two equally valid aggregation systems for all UN work at the activity level. The main aggregate system used throughout the UNSDCF is composed of four Strategic Priority Areas that rely on the </w:t>
      </w:r>
      <w:r w:rsidR="002704D0">
        <w:rPr>
          <w:rFonts w:ascii="Roboto" w:hAnsi="Roboto"/>
          <w:color w:val="404040" w:themeColor="text1" w:themeTint="BF"/>
          <w:sz w:val="21"/>
          <w:szCs w:val="21"/>
          <w:lang w:val="en-GB"/>
        </w:rPr>
        <w:t xml:space="preserve">UN’s </w:t>
      </w:r>
      <w:r w:rsidRPr="00645128">
        <w:rPr>
          <w:rFonts w:ascii="Roboto" w:hAnsi="Roboto"/>
          <w:color w:val="404040" w:themeColor="text1" w:themeTint="BF"/>
          <w:sz w:val="21"/>
          <w:szCs w:val="21"/>
          <w:lang w:val="en-GB"/>
        </w:rPr>
        <w:t>2030 Agenda, its SDGs, and the ‘5Ps’: People</w:t>
      </w:r>
      <w:r>
        <w:rPr>
          <w:rFonts w:ascii="Roboto" w:hAnsi="Roboto"/>
          <w:color w:val="404040" w:themeColor="text1" w:themeTint="BF"/>
          <w:sz w:val="21"/>
          <w:szCs w:val="21"/>
          <w:lang w:val="en-GB"/>
        </w:rPr>
        <w:t xml:space="preserve"> (colour code blue)</w:t>
      </w:r>
      <w:r w:rsidRPr="00645128">
        <w:rPr>
          <w:rFonts w:ascii="Roboto" w:hAnsi="Roboto"/>
          <w:color w:val="404040" w:themeColor="text1" w:themeTint="BF"/>
          <w:sz w:val="21"/>
          <w:szCs w:val="21"/>
          <w:lang w:val="en-GB"/>
        </w:rPr>
        <w:t>, Planet</w:t>
      </w:r>
      <w:r>
        <w:rPr>
          <w:rFonts w:ascii="Roboto" w:hAnsi="Roboto"/>
          <w:color w:val="404040" w:themeColor="text1" w:themeTint="BF"/>
          <w:sz w:val="21"/>
          <w:szCs w:val="21"/>
          <w:lang w:val="en-GB"/>
        </w:rPr>
        <w:t xml:space="preserve"> (colour code red)</w:t>
      </w:r>
      <w:r w:rsidRPr="00645128">
        <w:rPr>
          <w:rFonts w:ascii="Roboto" w:hAnsi="Roboto"/>
          <w:color w:val="404040" w:themeColor="text1" w:themeTint="BF"/>
          <w:sz w:val="21"/>
          <w:szCs w:val="21"/>
          <w:lang w:val="en-GB"/>
        </w:rPr>
        <w:t>, Prosperity</w:t>
      </w:r>
      <w:r>
        <w:rPr>
          <w:rFonts w:ascii="Roboto" w:hAnsi="Roboto"/>
          <w:color w:val="404040" w:themeColor="text1" w:themeTint="BF"/>
          <w:sz w:val="21"/>
          <w:szCs w:val="21"/>
          <w:lang w:val="en-GB"/>
        </w:rPr>
        <w:t xml:space="preserve"> (colour code green)</w:t>
      </w:r>
      <w:r w:rsidRPr="00645128">
        <w:rPr>
          <w:rFonts w:ascii="Roboto" w:hAnsi="Roboto"/>
          <w:color w:val="404040" w:themeColor="text1" w:themeTint="BF"/>
          <w:sz w:val="21"/>
          <w:szCs w:val="21"/>
          <w:lang w:val="en-GB"/>
        </w:rPr>
        <w:t>, Peace, and Partnership</w:t>
      </w:r>
      <w:r>
        <w:rPr>
          <w:rFonts w:ascii="Roboto" w:hAnsi="Roboto"/>
          <w:color w:val="404040" w:themeColor="text1" w:themeTint="BF"/>
          <w:sz w:val="21"/>
          <w:szCs w:val="21"/>
          <w:lang w:val="en-GB"/>
        </w:rPr>
        <w:t xml:space="preserve"> (colour code yellow)</w:t>
      </w:r>
      <w:r w:rsidRPr="00645128">
        <w:rPr>
          <w:rFonts w:ascii="Roboto" w:hAnsi="Roboto"/>
          <w:color w:val="404040" w:themeColor="text1" w:themeTint="BF"/>
          <w:sz w:val="21"/>
          <w:szCs w:val="21"/>
          <w:lang w:val="en-GB"/>
        </w:rPr>
        <w:t xml:space="preserve">. We map the SDGs onto the ‘5Ps’ and group the UN activities in the UNSDCF according to their main SDG link under the ‘5Ps’, resulting in four Strategic Priority Areas framed in terms of (1) People, (2) Planet, (3) Prosperity, and (4) Peace, Partnership, and Other Cross-Cutting Issues. The </w:t>
      </w:r>
      <w:r>
        <w:rPr>
          <w:rFonts w:ascii="Roboto" w:hAnsi="Roboto"/>
          <w:color w:val="404040" w:themeColor="text1" w:themeTint="BF"/>
          <w:sz w:val="21"/>
          <w:szCs w:val="21"/>
          <w:lang w:val="en-GB"/>
        </w:rPr>
        <w:t>alternative aggregate system's details that rely</w:t>
      </w:r>
      <w:r w:rsidRPr="00645128">
        <w:rPr>
          <w:rFonts w:ascii="Roboto" w:hAnsi="Roboto"/>
          <w:color w:val="404040" w:themeColor="text1" w:themeTint="BF"/>
          <w:sz w:val="21"/>
          <w:szCs w:val="21"/>
          <w:lang w:val="en-GB"/>
        </w:rPr>
        <w:t xml:space="preserve"> on the KSA’s Vision 2030 can be found in Annex B of the UNSDCF. </w:t>
      </w:r>
    </w:p>
    <w:p w14:paraId="32F29CE9" w14:textId="77777777" w:rsidR="007A5800" w:rsidRPr="00645128" w:rsidRDefault="007A5800" w:rsidP="007A5800">
      <w:pPr>
        <w:ind w:left="-144" w:right="-144"/>
        <w:rPr>
          <w:rFonts w:ascii="Roboto" w:hAnsi="Roboto"/>
          <w:color w:val="404040" w:themeColor="text1" w:themeTint="BF"/>
          <w:sz w:val="21"/>
          <w:szCs w:val="21"/>
          <w:lang w:val="en-GB"/>
        </w:rPr>
      </w:pPr>
    </w:p>
    <w:p w14:paraId="5E873E51" w14:textId="6EF7B152" w:rsidR="007A5800" w:rsidRDefault="007A5800" w:rsidP="007A5800">
      <w:pPr>
        <w:ind w:left="-144" w:right="-144"/>
        <w:jc w:val="both"/>
        <w:rPr>
          <w:rFonts w:ascii="Roboto" w:hAnsi="Roboto"/>
          <w:color w:val="404040" w:themeColor="text1" w:themeTint="BF"/>
          <w:sz w:val="21"/>
          <w:szCs w:val="21"/>
          <w:lang w:val="en-GB"/>
        </w:rPr>
      </w:pPr>
      <w:r w:rsidRPr="00645128">
        <w:rPr>
          <w:rFonts w:ascii="Roboto" w:hAnsi="Roboto"/>
          <w:color w:val="404040" w:themeColor="text1" w:themeTint="BF"/>
          <w:sz w:val="21"/>
          <w:szCs w:val="21"/>
          <w:lang w:val="en-GB"/>
        </w:rPr>
        <w:t>Beginning with the Joint Statement and Signature provided by the U</w:t>
      </w:r>
      <w:r>
        <w:rPr>
          <w:rFonts w:ascii="Roboto" w:hAnsi="Roboto"/>
          <w:color w:val="404040" w:themeColor="text1" w:themeTint="BF"/>
          <w:sz w:val="21"/>
          <w:szCs w:val="21"/>
          <w:lang w:val="en-GB"/>
        </w:rPr>
        <w:t xml:space="preserve">nited </w:t>
      </w:r>
      <w:r w:rsidRPr="00645128">
        <w:rPr>
          <w:rFonts w:ascii="Roboto" w:hAnsi="Roboto"/>
          <w:color w:val="404040" w:themeColor="text1" w:themeTint="BF"/>
          <w:sz w:val="21"/>
          <w:szCs w:val="21"/>
          <w:lang w:val="en-GB"/>
        </w:rPr>
        <w:t>N</w:t>
      </w:r>
      <w:r>
        <w:rPr>
          <w:rFonts w:ascii="Roboto" w:hAnsi="Roboto"/>
          <w:color w:val="404040" w:themeColor="text1" w:themeTint="BF"/>
          <w:sz w:val="21"/>
          <w:szCs w:val="21"/>
          <w:lang w:val="en-GB"/>
        </w:rPr>
        <w:t>ations</w:t>
      </w:r>
      <w:r w:rsidRPr="00645128">
        <w:rPr>
          <w:rFonts w:ascii="Roboto" w:hAnsi="Roboto"/>
          <w:color w:val="404040" w:themeColor="text1" w:themeTint="BF"/>
          <w:sz w:val="21"/>
          <w:szCs w:val="21"/>
          <w:lang w:val="en-GB"/>
        </w:rPr>
        <w:t xml:space="preserve"> and the Government </w:t>
      </w:r>
      <w:r>
        <w:rPr>
          <w:rFonts w:ascii="Roboto" w:hAnsi="Roboto"/>
          <w:color w:val="404040" w:themeColor="text1" w:themeTint="BF"/>
          <w:sz w:val="21"/>
          <w:szCs w:val="21"/>
          <w:lang w:val="en-GB"/>
        </w:rPr>
        <w:t xml:space="preserve">of the Kingdom of Saudi Arabia </w:t>
      </w:r>
      <w:r w:rsidRPr="00645128">
        <w:rPr>
          <w:rFonts w:ascii="Roboto" w:hAnsi="Roboto"/>
          <w:color w:val="404040" w:themeColor="text1" w:themeTint="BF"/>
          <w:sz w:val="21"/>
          <w:szCs w:val="21"/>
          <w:lang w:val="en-GB"/>
        </w:rPr>
        <w:t>and followed by the Executive Summary, the structure of the UNSDCF is the following: Chapter 1 provides a</w:t>
      </w:r>
      <w:r>
        <w:rPr>
          <w:rFonts w:ascii="Roboto" w:hAnsi="Roboto" w:cs="Calibri"/>
          <w:color w:val="404040" w:themeColor="text1" w:themeTint="BF"/>
          <w:sz w:val="21"/>
          <w:szCs w:val="21"/>
          <w:lang w:val="en-GB"/>
        </w:rPr>
        <w:t>n</w:t>
      </w:r>
      <w:r w:rsidRPr="00645128">
        <w:rPr>
          <w:rFonts w:ascii="Roboto" w:hAnsi="Roboto"/>
          <w:color w:val="404040" w:themeColor="text1" w:themeTint="BF"/>
          <w:sz w:val="21"/>
          <w:szCs w:val="21"/>
          <w:lang w:val="en-GB"/>
        </w:rPr>
        <w:t xml:space="preserve"> overview of the KSA’s progress towards achieving the SDGs. Chapter 2 presents the UN development system’s support to the UN</w:t>
      </w:r>
      <w:r w:rsidR="002704D0">
        <w:rPr>
          <w:rFonts w:ascii="Roboto" w:hAnsi="Roboto"/>
          <w:color w:val="404040" w:themeColor="text1" w:themeTint="BF"/>
          <w:sz w:val="21"/>
          <w:szCs w:val="21"/>
          <w:lang w:val="en-GB"/>
        </w:rPr>
        <w:t>’s</w:t>
      </w:r>
      <w:r w:rsidRPr="00645128">
        <w:rPr>
          <w:rFonts w:ascii="Roboto" w:hAnsi="Roboto"/>
          <w:color w:val="404040" w:themeColor="text1" w:themeTint="BF"/>
          <w:sz w:val="21"/>
          <w:szCs w:val="21"/>
          <w:lang w:val="en-GB"/>
        </w:rPr>
        <w:t xml:space="preserve"> 2030 Agenda and the KSA’s Vision 2030</w:t>
      </w:r>
      <w:r>
        <w:rPr>
          <w:rFonts w:ascii="Roboto" w:hAnsi="Roboto"/>
          <w:color w:val="404040" w:themeColor="text1" w:themeTint="BF"/>
          <w:sz w:val="21"/>
          <w:szCs w:val="21"/>
          <w:lang w:val="en-GB"/>
        </w:rPr>
        <w:t>.</w:t>
      </w:r>
      <w:r w:rsidRPr="00645128">
        <w:rPr>
          <w:rFonts w:ascii="Roboto" w:hAnsi="Roboto"/>
          <w:color w:val="404040" w:themeColor="text1" w:themeTint="BF"/>
          <w:sz w:val="21"/>
          <w:szCs w:val="21"/>
          <w:lang w:val="en-GB"/>
        </w:rPr>
        <w:t xml:space="preserve"> Chapter 3 presents the implementation plan for the UNSDCF, including its governance and management structures. Finally, Chapter 4 presents the Monitoring, Evaluation, and Learning (MEL) plan</w:t>
      </w:r>
      <w:r>
        <w:rPr>
          <w:rFonts w:ascii="Roboto" w:hAnsi="Roboto"/>
          <w:color w:val="404040" w:themeColor="text1" w:themeTint="BF"/>
          <w:sz w:val="21"/>
          <w:szCs w:val="21"/>
          <w:lang w:val="en-GB"/>
        </w:rPr>
        <w:t>.</w:t>
      </w:r>
    </w:p>
    <w:p w14:paraId="742A6E9D" w14:textId="77777777" w:rsidR="007A5800" w:rsidRDefault="007A5800">
      <w:pPr>
        <w:rPr>
          <w:rFonts w:ascii="Roboto" w:hAnsi="Roboto"/>
          <w:color w:val="404040" w:themeColor="text1" w:themeTint="BF"/>
          <w:sz w:val="21"/>
          <w:szCs w:val="21"/>
          <w:lang w:val="en-GB"/>
        </w:rPr>
      </w:pPr>
      <w:r>
        <w:rPr>
          <w:rFonts w:ascii="Roboto" w:hAnsi="Roboto"/>
          <w:color w:val="404040" w:themeColor="text1" w:themeTint="BF"/>
          <w:sz w:val="21"/>
          <w:szCs w:val="21"/>
          <w:lang w:val="en-GB"/>
        </w:rPr>
        <w:br w:type="page"/>
      </w:r>
    </w:p>
    <w:bookmarkEnd w:id="9" w:displacedByCustomXml="next"/>
    <w:sdt>
      <w:sdtPr>
        <w:rPr>
          <w:rFonts w:ascii="Times New Roman" w:hAnsi="Times New Roman" w:cs="Times New Roman"/>
          <w:b w:val="0"/>
          <w:bCs w:val="0"/>
          <w:sz w:val="24"/>
          <w:szCs w:val="24"/>
          <w:lang w:val="en-GB"/>
        </w:rPr>
        <w:id w:val="435405829"/>
        <w:docPartObj>
          <w:docPartGallery w:val="Table of Contents"/>
          <w:docPartUnique/>
        </w:docPartObj>
      </w:sdtPr>
      <w:sdtEndPr>
        <w:rPr>
          <w:rFonts w:ascii="Roboto" w:hAnsi="Roboto"/>
          <w:color w:val="404040" w:themeColor="text1" w:themeTint="BF"/>
          <w:sz w:val="22"/>
          <w:szCs w:val="22"/>
        </w:rPr>
      </w:sdtEndPr>
      <w:sdtContent>
        <w:p w14:paraId="211F2B10" w14:textId="5687B966" w:rsidR="00B96A3F" w:rsidRDefault="00495341" w:rsidP="00330CDF">
          <w:pPr>
            <w:pStyle w:val="TOC1"/>
            <w:rPr>
              <w:rFonts w:eastAsiaTheme="minorEastAsia" w:cstheme="minorBidi"/>
              <w:noProof/>
              <w:sz w:val="22"/>
              <w:szCs w:val="22"/>
            </w:rPr>
          </w:pPr>
          <w:r w:rsidRPr="00464AC3">
            <w:rPr>
              <w:rFonts w:ascii="Roboto" w:hAnsi="Roboto" w:cs="Times New Roman"/>
              <w:sz w:val="28"/>
              <w:szCs w:val="28"/>
              <w:lang w:val="en-GB"/>
            </w:rPr>
            <w:t>Table of Contents</w:t>
          </w:r>
          <w:r w:rsidR="00871C7A" w:rsidRPr="00464AC3">
            <w:rPr>
              <w:rFonts w:ascii="Roboto" w:hAnsi="Roboto"/>
              <w:sz w:val="22"/>
              <w:szCs w:val="22"/>
              <w:lang w:val="en-GB"/>
            </w:rPr>
            <w:fldChar w:fldCharType="begin"/>
          </w:r>
          <w:r w:rsidR="00871C7A" w:rsidRPr="00464AC3">
            <w:rPr>
              <w:rFonts w:ascii="Roboto" w:hAnsi="Roboto"/>
              <w:sz w:val="22"/>
              <w:szCs w:val="22"/>
            </w:rPr>
            <w:instrText xml:space="preserve"> TOC \o "1-3" \h \z \u </w:instrText>
          </w:r>
          <w:r w:rsidR="00871C7A" w:rsidRPr="00464AC3">
            <w:rPr>
              <w:rFonts w:ascii="Roboto" w:hAnsi="Roboto"/>
              <w:sz w:val="22"/>
              <w:szCs w:val="22"/>
              <w:lang w:val="en-GB"/>
            </w:rPr>
            <w:fldChar w:fldCharType="separate"/>
          </w:r>
        </w:p>
        <w:p w14:paraId="43C3CE18" w14:textId="21CCFB90" w:rsidR="00B96A3F" w:rsidRDefault="00EB4A55" w:rsidP="00330CDF">
          <w:pPr>
            <w:pStyle w:val="TOC1"/>
            <w:rPr>
              <w:rFonts w:eastAsiaTheme="minorEastAsia" w:cstheme="minorBidi"/>
              <w:noProof/>
              <w:sz w:val="22"/>
              <w:szCs w:val="22"/>
            </w:rPr>
          </w:pPr>
          <w:hyperlink w:anchor="_Toc105333769" w:history="1">
            <w:r w:rsidR="00B96A3F" w:rsidRPr="00DC1219">
              <w:rPr>
                <w:rStyle w:val="Hyperlink"/>
                <w:rFonts w:ascii="Roboto" w:eastAsia="Calibri" w:hAnsi="Roboto" w:cs="Calibri"/>
                <w:noProof/>
                <w:lang w:val="en-GB"/>
              </w:rPr>
              <w:t>Joint Statement</w:t>
            </w:r>
            <w:r w:rsidR="00B96A3F">
              <w:rPr>
                <w:noProof/>
                <w:webHidden/>
              </w:rPr>
              <w:tab/>
            </w:r>
            <w:r w:rsidR="00B96A3F">
              <w:rPr>
                <w:noProof/>
                <w:webHidden/>
              </w:rPr>
              <w:fldChar w:fldCharType="begin"/>
            </w:r>
            <w:r w:rsidR="00B96A3F">
              <w:rPr>
                <w:noProof/>
                <w:webHidden/>
              </w:rPr>
              <w:instrText xml:space="preserve"> PAGEREF _Toc105333769 \h </w:instrText>
            </w:r>
            <w:r w:rsidR="00B96A3F">
              <w:rPr>
                <w:noProof/>
                <w:webHidden/>
              </w:rPr>
            </w:r>
            <w:r w:rsidR="00B96A3F">
              <w:rPr>
                <w:noProof/>
                <w:webHidden/>
              </w:rPr>
              <w:fldChar w:fldCharType="separate"/>
            </w:r>
            <w:r w:rsidR="00BD1EAC">
              <w:rPr>
                <w:noProof/>
                <w:webHidden/>
              </w:rPr>
              <w:t>2</w:t>
            </w:r>
            <w:r w:rsidR="00B96A3F">
              <w:rPr>
                <w:noProof/>
                <w:webHidden/>
              </w:rPr>
              <w:fldChar w:fldCharType="end"/>
            </w:r>
          </w:hyperlink>
        </w:p>
        <w:p w14:paraId="49C63AEC" w14:textId="3409BFDE" w:rsidR="00B96A3F" w:rsidRDefault="00EB4A55" w:rsidP="00330CDF">
          <w:pPr>
            <w:pStyle w:val="TOC1"/>
            <w:rPr>
              <w:rFonts w:eastAsiaTheme="minorEastAsia" w:cstheme="minorBidi"/>
              <w:noProof/>
              <w:sz w:val="22"/>
              <w:szCs w:val="22"/>
            </w:rPr>
          </w:pPr>
          <w:hyperlink w:anchor="_Toc105333770" w:history="1">
            <w:r w:rsidR="00B96A3F" w:rsidRPr="00DC1219">
              <w:rPr>
                <w:rStyle w:val="Hyperlink"/>
                <w:rFonts w:ascii="Roboto" w:eastAsia="Calibri" w:hAnsi="Roboto" w:cs="Calibri"/>
                <w:noProof/>
                <w:lang w:val="en-GB"/>
              </w:rPr>
              <w:t>The UN System Signing the UN Sustainable Development Cooperation Framework</w:t>
            </w:r>
            <w:r w:rsidR="00B96A3F">
              <w:rPr>
                <w:noProof/>
                <w:webHidden/>
              </w:rPr>
              <w:tab/>
            </w:r>
            <w:r w:rsidR="00B96A3F">
              <w:rPr>
                <w:noProof/>
                <w:webHidden/>
              </w:rPr>
              <w:fldChar w:fldCharType="begin"/>
            </w:r>
            <w:r w:rsidR="00B96A3F">
              <w:rPr>
                <w:noProof/>
                <w:webHidden/>
              </w:rPr>
              <w:instrText xml:space="preserve"> PAGEREF _Toc105333770 \h </w:instrText>
            </w:r>
            <w:r w:rsidR="00B96A3F">
              <w:rPr>
                <w:noProof/>
                <w:webHidden/>
              </w:rPr>
            </w:r>
            <w:r w:rsidR="00B96A3F">
              <w:rPr>
                <w:noProof/>
                <w:webHidden/>
              </w:rPr>
              <w:fldChar w:fldCharType="separate"/>
            </w:r>
            <w:r w:rsidR="00BD1EAC">
              <w:rPr>
                <w:noProof/>
                <w:webHidden/>
              </w:rPr>
              <w:t>4</w:t>
            </w:r>
            <w:r w:rsidR="00B96A3F">
              <w:rPr>
                <w:noProof/>
                <w:webHidden/>
              </w:rPr>
              <w:fldChar w:fldCharType="end"/>
            </w:r>
          </w:hyperlink>
        </w:p>
        <w:p w14:paraId="54CF3F28" w14:textId="607D3B69" w:rsidR="00B96A3F" w:rsidRDefault="00EB4A55" w:rsidP="00330CDF">
          <w:pPr>
            <w:pStyle w:val="TOC1"/>
            <w:rPr>
              <w:rFonts w:eastAsiaTheme="minorEastAsia" w:cstheme="minorBidi"/>
              <w:noProof/>
              <w:sz w:val="22"/>
              <w:szCs w:val="22"/>
            </w:rPr>
          </w:pPr>
          <w:hyperlink w:anchor="_Toc105333771" w:history="1">
            <w:r w:rsidR="00B96A3F" w:rsidRPr="00DC1219">
              <w:rPr>
                <w:rStyle w:val="Hyperlink"/>
                <w:rFonts w:ascii="Roboto" w:hAnsi="Roboto"/>
                <w:noProof/>
                <w:lang w:val="en-GB"/>
              </w:rPr>
              <w:t>Executive Summary</w:t>
            </w:r>
            <w:r w:rsidR="00B96A3F">
              <w:rPr>
                <w:noProof/>
                <w:webHidden/>
              </w:rPr>
              <w:tab/>
            </w:r>
            <w:r w:rsidR="00B96A3F">
              <w:rPr>
                <w:noProof/>
                <w:webHidden/>
              </w:rPr>
              <w:fldChar w:fldCharType="begin"/>
            </w:r>
            <w:r w:rsidR="00B96A3F">
              <w:rPr>
                <w:noProof/>
                <w:webHidden/>
              </w:rPr>
              <w:instrText xml:space="preserve"> PAGEREF _Toc105333771 \h </w:instrText>
            </w:r>
            <w:r w:rsidR="00B96A3F">
              <w:rPr>
                <w:noProof/>
                <w:webHidden/>
              </w:rPr>
            </w:r>
            <w:r w:rsidR="00B96A3F">
              <w:rPr>
                <w:noProof/>
                <w:webHidden/>
              </w:rPr>
              <w:fldChar w:fldCharType="separate"/>
            </w:r>
            <w:r w:rsidR="00BD1EAC">
              <w:rPr>
                <w:noProof/>
                <w:webHidden/>
              </w:rPr>
              <w:t>7</w:t>
            </w:r>
            <w:r w:rsidR="00B96A3F">
              <w:rPr>
                <w:noProof/>
                <w:webHidden/>
              </w:rPr>
              <w:fldChar w:fldCharType="end"/>
            </w:r>
          </w:hyperlink>
        </w:p>
        <w:p w14:paraId="5958597D" w14:textId="70C86FDE" w:rsidR="00B96A3F" w:rsidRDefault="00EB4A55" w:rsidP="00330CDF">
          <w:pPr>
            <w:pStyle w:val="TOC1"/>
            <w:rPr>
              <w:rFonts w:eastAsiaTheme="minorEastAsia" w:cstheme="minorBidi"/>
              <w:noProof/>
              <w:sz w:val="22"/>
              <w:szCs w:val="22"/>
            </w:rPr>
          </w:pPr>
          <w:hyperlink w:anchor="_Toc105333773" w:history="1">
            <w:r w:rsidR="00B96A3F" w:rsidRPr="00DC1219">
              <w:rPr>
                <w:rStyle w:val="Hyperlink"/>
                <w:rFonts w:ascii="Roboto" w:hAnsi="Roboto" w:cs="Calibri"/>
                <w:noProof/>
                <w:lang w:val="en-GB"/>
              </w:rPr>
              <w:t>CHAPTER 1: THE KINGDOM OF SAUDI ARABIA’S PROGRESS TOWARDS THE UN’s 2030 AGENDA</w:t>
            </w:r>
            <w:r w:rsidR="00B96A3F">
              <w:rPr>
                <w:noProof/>
                <w:webHidden/>
              </w:rPr>
              <w:tab/>
            </w:r>
            <w:r w:rsidR="00B96A3F">
              <w:rPr>
                <w:noProof/>
                <w:webHidden/>
              </w:rPr>
              <w:fldChar w:fldCharType="begin"/>
            </w:r>
            <w:r w:rsidR="00B96A3F">
              <w:rPr>
                <w:noProof/>
                <w:webHidden/>
              </w:rPr>
              <w:instrText xml:space="preserve"> PAGEREF _Toc105333773 \h </w:instrText>
            </w:r>
            <w:r w:rsidR="00B96A3F">
              <w:rPr>
                <w:noProof/>
                <w:webHidden/>
              </w:rPr>
            </w:r>
            <w:r w:rsidR="00B96A3F">
              <w:rPr>
                <w:noProof/>
                <w:webHidden/>
              </w:rPr>
              <w:fldChar w:fldCharType="separate"/>
            </w:r>
            <w:r w:rsidR="00BD1EAC">
              <w:rPr>
                <w:noProof/>
                <w:webHidden/>
              </w:rPr>
              <w:t>10</w:t>
            </w:r>
            <w:r w:rsidR="00B96A3F">
              <w:rPr>
                <w:noProof/>
                <w:webHidden/>
              </w:rPr>
              <w:fldChar w:fldCharType="end"/>
            </w:r>
          </w:hyperlink>
        </w:p>
        <w:p w14:paraId="6EB4946B" w14:textId="31049C57" w:rsidR="00B96A3F" w:rsidRDefault="00EB4A55" w:rsidP="00330CDF">
          <w:pPr>
            <w:pStyle w:val="TOC1"/>
            <w:rPr>
              <w:rFonts w:eastAsiaTheme="minorEastAsia" w:cstheme="minorBidi"/>
              <w:noProof/>
              <w:sz w:val="22"/>
              <w:szCs w:val="22"/>
            </w:rPr>
          </w:pPr>
          <w:hyperlink w:anchor="_Toc105333775" w:history="1">
            <w:r w:rsidR="00B96A3F" w:rsidRPr="00DC1219">
              <w:rPr>
                <w:rStyle w:val="Hyperlink"/>
                <w:rFonts w:ascii="Roboto" w:hAnsi="Roboto" w:cs="Calibri"/>
                <w:noProof/>
                <w:lang w:val="en-GB"/>
              </w:rPr>
              <w:t>CHAPTER 2: UN DEVELOPMENT SYSTEM SUPPORT TO THE UN’s 2030 AGENDA</w:t>
            </w:r>
            <w:r w:rsidR="00B96A3F">
              <w:rPr>
                <w:noProof/>
                <w:webHidden/>
              </w:rPr>
              <w:tab/>
            </w:r>
            <w:r w:rsidR="00B96A3F">
              <w:rPr>
                <w:noProof/>
                <w:webHidden/>
              </w:rPr>
              <w:fldChar w:fldCharType="begin"/>
            </w:r>
            <w:r w:rsidR="00B96A3F">
              <w:rPr>
                <w:noProof/>
                <w:webHidden/>
              </w:rPr>
              <w:instrText xml:space="preserve"> PAGEREF _Toc105333775 \h </w:instrText>
            </w:r>
            <w:r w:rsidR="00B96A3F">
              <w:rPr>
                <w:noProof/>
                <w:webHidden/>
              </w:rPr>
            </w:r>
            <w:r w:rsidR="00B96A3F">
              <w:rPr>
                <w:noProof/>
                <w:webHidden/>
              </w:rPr>
              <w:fldChar w:fldCharType="separate"/>
            </w:r>
            <w:r w:rsidR="00BD1EAC">
              <w:rPr>
                <w:noProof/>
                <w:webHidden/>
              </w:rPr>
              <w:t>17</w:t>
            </w:r>
            <w:r w:rsidR="00B96A3F">
              <w:rPr>
                <w:noProof/>
                <w:webHidden/>
              </w:rPr>
              <w:fldChar w:fldCharType="end"/>
            </w:r>
          </w:hyperlink>
        </w:p>
        <w:p w14:paraId="20AEB21A" w14:textId="11FC45DC" w:rsidR="00B96A3F" w:rsidRDefault="00EB4A55">
          <w:pPr>
            <w:pStyle w:val="TOC2"/>
            <w:rPr>
              <w:rFonts w:eastAsiaTheme="minorEastAsia" w:cstheme="minorBidi"/>
              <w:i w:val="0"/>
              <w:iCs w:val="0"/>
              <w:noProof/>
              <w:sz w:val="22"/>
              <w:szCs w:val="22"/>
            </w:rPr>
          </w:pPr>
          <w:hyperlink w:anchor="_Toc105333776" w:history="1">
            <w:r w:rsidR="00B96A3F" w:rsidRPr="00DC1219">
              <w:rPr>
                <w:rStyle w:val="Hyperlink"/>
                <w:rFonts w:ascii="Roboto" w:eastAsiaTheme="majorEastAsia" w:hAnsi="Roboto" w:cs="Calibri"/>
                <w:b/>
                <w:bCs/>
                <w:noProof/>
                <w:lang w:val="en-GB"/>
              </w:rPr>
              <w:t>2.1. Identifying the UNSDCF Four Strategic Priorities Areas</w:t>
            </w:r>
            <w:r w:rsidR="00B96A3F">
              <w:rPr>
                <w:noProof/>
                <w:webHidden/>
              </w:rPr>
              <w:tab/>
            </w:r>
            <w:r w:rsidR="00B96A3F">
              <w:rPr>
                <w:noProof/>
                <w:webHidden/>
              </w:rPr>
              <w:fldChar w:fldCharType="begin"/>
            </w:r>
            <w:r w:rsidR="00B96A3F">
              <w:rPr>
                <w:noProof/>
                <w:webHidden/>
              </w:rPr>
              <w:instrText xml:space="preserve"> PAGEREF _Toc105333776 \h </w:instrText>
            </w:r>
            <w:r w:rsidR="00B96A3F">
              <w:rPr>
                <w:noProof/>
                <w:webHidden/>
              </w:rPr>
            </w:r>
            <w:r w:rsidR="00B96A3F">
              <w:rPr>
                <w:noProof/>
                <w:webHidden/>
              </w:rPr>
              <w:fldChar w:fldCharType="separate"/>
            </w:r>
            <w:r w:rsidR="00BD1EAC">
              <w:rPr>
                <w:noProof/>
                <w:webHidden/>
              </w:rPr>
              <w:t>17</w:t>
            </w:r>
            <w:r w:rsidR="00B96A3F">
              <w:rPr>
                <w:noProof/>
                <w:webHidden/>
              </w:rPr>
              <w:fldChar w:fldCharType="end"/>
            </w:r>
          </w:hyperlink>
        </w:p>
        <w:p w14:paraId="68F35234" w14:textId="19BC9661" w:rsidR="00B96A3F" w:rsidRDefault="00EB4A55">
          <w:pPr>
            <w:pStyle w:val="TOC2"/>
            <w:rPr>
              <w:rFonts w:eastAsiaTheme="minorEastAsia" w:cstheme="minorBidi"/>
              <w:i w:val="0"/>
              <w:iCs w:val="0"/>
              <w:noProof/>
              <w:sz w:val="22"/>
              <w:szCs w:val="22"/>
            </w:rPr>
          </w:pPr>
          <w:hyperlink w:anchor="_Toc105333777" w:history="1">
            <w:r w:rsidR="00B96A3F" w:rsidRPr="00DC1219">
              <w:rPr>
                <w:rStyle w:val="Hyperlink"/>
                <w:rFonts w:ascii="Roboto" w:eastAsiaTheme="majorEastAsia" w:hAnsi="Roboto" w:cs="Calibri"/>
                <w:b/>
                <w:bCs/>
                <w:noProof/>
                <w:lang w:val="en-GB"/>
              </w:rPr>
              <w:t>2.2. Strategic Priority Areas – Looking Forward</w:t>
            </w:r>
            <w:r w:rsidR="00B96A3F">
              <w:rPr>
                <w:noProof/>
                <w:webHidden/>
              </w:rPr>
              <w:tab/>
            </w:r>
            <w:r w:rsidR="00B96A3F">
              <w:rPr>
                <w:noProof/>
                <w:webHidden/>
              </w:rPr>
              <w:fldChar w:fldCharType="begin"/>
            </w:r>
            <w:r w:rsidR="00B96A3F">
              <w:rPr>
                <w:noProof/>
                <w:webHidden/>
              </w:rPr>
              <w:instrText xml:space="preserve"> PAGEREF _Toc105333777 \h </w:instrText>
            </w:r>
            <w:r w:rsidR="00B96A3F">
              <w:rPr>
                <w:noProof/>
                <w:webHidden/>
              </w:rPr>
            </w:r>
            <w:r w:rsidR="00B96A3F">
              <w:rPr>
                <w:noProof/>
                <w:webHidden/>
              </w:rPr>
              <w:fldChar w:fldCharType="separate"/>
            </w:r>
            <w:r w:rsidR="00BD1EAC">
              <w:rPr>
                <w:noProof/>
                <w:webHidden/>
              </w:rPr>
              <w:t>19</w:t>
            </w:r>
            <w:r w:rsidR="00B96A3F">
              <w:rPr>
                <w:noProof/>
                <w:webHidden/>
              </w:rPr>
              <w:fldChar w:fldCharType="end"/>
            </w:r>
          </w:hyperlink>
        </w:p>
        <w:p w14:paraId="3F6CB5DE" w14:textId="58B0B10E" w:rsidR="00B96A3F" w:rsidRDefault="00EB4A55" w:rsidP="00330CDF">
          <w:pPr>
            <w:pStyle w:val="TOC1"/>
            <w:rPr>
              <w:rFonts w:eastAsiaTheme="minorEastAsia" w:cstheme="minorBidi"/>
              <w:noProof/>
              <w:sz w:val="22"/>
              <w:szCs w:val="22"/>
            </w:rPr>
          </w:pPr>
          <w:hyperlink w:anchor="_Toc105333779" w:history="1">
            <w:r w:rsidR="00B96A3F" w:rsidRPr="00DC1219">
              <w:rPr>
                <w:rStyle w:val="Hyperlink"/>
                <w:rFonts w:ascii="Roboto" w:hAnsi="Roboto" w:cs="Calibri"/>
                <w:noProof/>
                <w:lang w:val="en-GB"/>
              </w:rPr>
              <w:t>CHAPTER 3: COOPERATION FRAMEWORK IMPLEMENTATION PLAN</w:t>
            </w:r>
            <w:r w:rsidR="00B96A3F">
              <w:rPr>
                <w:noProof/>
                <w:webHidden/>
              </w:rPr>
              <w:tab/>
            </w:r>
            <w:r w:rsidR="00B96A3F">
              <w:rPr>
                <w:noProof/>
                <w:webHidden/>
              </w:rPr>
              <w:fldChar w:fldCharType="begin"/>
            </w:r>
            <w:r w:rsidR="00B96A3F">
              <w:rPr>
                <w:noProof/>
                <w:webHidden/>
              </w:rPr>
              <w:instrText xml:space="preserve"> PAGEREF _Toc105333779 \h </w:instrText>
            </w:r>
            <w:r w:rsidR="00B96A3F">
              <w:rPr>
                <w:noProof/>
                <w:webHidden/>
              </w:rPr>
            </w:r>
            <w:r w:rsidR="00B96A3F">
              <w:rPr>
                <w:noProof/>
                <w:webHidden/>
              </w:rPr>
              <w:fldChar w:fldCharType="separate"/>
            </w:r>
            <w:r w:rsidR="00BD1EAC">
              <w:rPr>
                <w:noProof/>
                <w:webHidden/>
              </w:rPr>
              <w:t>31</w:t>
            </w:r>
            <w:r w:rsidR="00B96A3F">
              <w:rPr>
                <w:noProof/>
                <w:webHidden/>
              </w:rPr>
              <w:fldChar w:fldCharType="end"/>
            </w:r>
          </w:hyperlink>
        </w:p>
        <w:p w14:paraId="459B8A67" w14:textId="503687A0" w:rsidR="00B96A3F" w:rsidRPr="0001315D" w:rsidRDefault="00EB4A55" w:rsidP="0001315D">
          <w:pPr>
            <w:pStyle w:val="TOC2"/>
            <w:rPr>
              <w:rFonts w:eastAsiaTheme="minorEastAsia" w:cstheme="minorBidi"/>
              <w:i w:val="0"/>
              <w:iCs w:val="0"/>
              <w:noProof/>
              <w:sz w:val="22"/>
              <w:szCs w:val="22"/>
            </w:rPr>
          </w:pPr>
          <w:hyperlink w:anchor="_Toc105333780" w:history="1">
            <w:r w:rsidR="00B96A3F" w:rsidRPr="00DC1219">
              <w:rPr>
                <w:rStyle w:val="Hyperlink"/>
                <w:rFonts w:ascii="Roboto" w:hAnsi="Roboto" w:cs="Calibri"/>
                <w:b/>
                <w:bCs/>
                <w:noProof/>
                <w:lang w:val="en-GB"/>
              </w:rPr>
              <w:t>3.1. UNSDCF Governance</w:t>
            </w:r>
            <w:r w:rsidR="00B96A3F">
              <w:rPr>
                <w:noProof/>
                <w:webHidden/>
              </w:rPr>
              <w:tab/>
            </w:r>
            <w:r w:rsidR="00B96A3F">
              <w:rPr>
                <w:noProof/>
                <w:webHidden/>
              </w:rPr>
              <w:fldChar w:fldCharType="begin"/>
            </w:r>
            <w:r w:rsidR="00B96A3F">
              <w:rPr>
                <w:noProof/>
                <w:webHidden/>
              </w:rPr>
              <w:instrText xml:space="preserve"> PAGEREF _Toc105333780 \h </w:instrText>
            </w:r>
            <w:r w:rsidR="00B96A3F">
              <w:rPr>
                <w:noProof/>
                <w:webHidden/>
              </w:rPr>
            </w:r>
            <w:r w:rsidR="00B96A3F">
              <w:rPr>
                <w:noProof/>
                <w:webHidden/>
              </w:rPr>
              <w:fldChar w:fldCharType="separate"/>
            </w:r>
            <w:r w:rsidR="00BD1EAC">
              <w:rPr>
                <w:noProof/>
                <w:webHidden/>
              </w:rPr>
              <w:t>31</w:t>
            </w:r>
            <w:r w:rsidR="00B96A3F">
              <w:rPr>
                <w:noProof/>
                <w:webHidden/>
              </w:rPr>
              <w:fldChar w:fldCharType="end"/>
            </w:r>
          </w:hyperlink>
        </w:p>
        <w:p w14:paraId="1A094B15" w14:textId="6556B047" w:rsidR="00B96A3F" w:rsidRDefault="00EB4A55">
          <w:pPr>
            <w:pStyle w:val="TOC2"/>
            <w:rPr>
              <w:rFonts w:eastAsiaTheme="minorEastAsia" w:cstheme="minorBidi"/>
              <w:i w:val="0"/>
              <w:iCs w:val="0"/>
              <w:noProof/>
              <w:sz w:val="22"/>
              <w:szCs w:val="22"/>
            </w:rPr>
          </w:pPr>
          <w:hyperlink w:anchor="_Toc105333784" w:history="1">
            <w:r w:rsidR="00B96A3F" w:rsidRPr="00DC1219">
              <w:rPr>
                <w:rStyle w:val="Hyperlink"/>
                <w:rFonts w:ascii="Roboto" w:hAnsi="Roboto" w:cs="Calibri"/>
                <w:b/>
                <w:bCs/>
                <w:noProof/>
                <w:lang w:val="en-GB"/>
              </w:rPr>
              <w:t>3.2. Resourcing the UNSDCF</w:t>
            </w:r>
            <w:r w:rsidR="00B96A3F">
              <w:rPr>
                <w:noProof/>
                <w:webHidden/>
              </w:rPr>
              <w:tab/>
            </w:r>
            <w:r w:rsidR="00B96A3F">
              <w:rPr>
                <w:noProof/>
                <w:webHidden/>
              </w:rPr>
              <w:fldChar w:fldCharType="begin"/>
            </w:r>
            <w:r w:rsidR="00B96A3F">
              <w:rPr>
                <w:noProof/>
                <w:webHidden/>
              </w:rPr>
              <w:instrText xml:space="preserve"> PAGEREF _Toc105333784 \h </w:instrText>
            </w:r>
            <w:r w:rsidR="00B96A3F">
              <w:rPr>
                <w:noProof/>
                <w:webHidden/>
              </w:rPr>
            </w:r>
            <w:r w:rsidR="00B96A3F">
              <w:rPr>
                <w:noProof/>
                <w:webHidden/>
              </w:rPr>
              <w:fldChar w:fldCharType="separate"/>
            </w:r>
            <w:r w:rsidR="00BD1EAC">
              <w:rPr>
                <w:noProof/>
                <w:webHidden/>
              </w:rPr>
              <w:t>33</w:t>
            </w:r>
            <w:r w:rsidR="00B96A3F">
              <w:rPr>
                <w:noProof/>
                <w:webHidden/>
              </w:rPr>
              <w:fldChar w:fldCharType="end"/>
            </w:r>
          </w:hyperlink>
        </w:p>
        <w:p w14:paraId="7192199A" w14:textId="548B7FDD" w:rsidR="00B96A3F" w:rsidRDefault="00EB4A55">
          <w:pPr>
            <w:pStyle w:val="TOC2"/>
            <w:rPr>
              <w:rFonts w:eastAsiaTheme="minorEastAsia" w:cstheme="minorBidi"/>
              <w:i w:val="0"/>
              <w:iCs w:val="0"/>
              <w:noProof/>
              <w:sz w:val="22"/>
              <w:szCs w:val="22"/>
            </w:rPr>
          </w:pPr>
          <w:hyperlink w:anchor="_Toc105333785" w:history="1">
            <w:r w:rsidR="00B96A3F" w:rsidRPr="00DC1219">
              <w:rPr>
                <w:rStyle w:val="Hyperlink"/>
                <w:rFonts w:ascii="Roboto" w:hAnsi="Roboto" w:cs="Calibri"/>
                <w:b/>
                <w:bCs/>
                <w:noProof/>
                <w:lang w:val="en-GB"/>
              </w:rPr>
              <w:t>3.3. Derivation of UN Entity Country Programming Instruments from the UNSDCF</w:t>
            </w:r>
            <w:r w:rsidR="00B96A3F">
              <w:rPr>
                <w:noProof/>
                <w:webHidden/>
              </w:rPr>
              <w:tab/>
            </w:r>
            <w:r w:rsidR="00B96A3F">
              <w:rPr>
                <w:noProof/>
                <w:webHidden/>
              </w:rPr>
              <w:fldChar w:fldCharType="begin"/>
            </w:r>
            <w:r w:rsidR="00B96A3F">
              <w:rPr>
                <w:noProof/>
                <w:webHidden/>
              </w:rPr>
              <w:instrText xml:space="preserve"> PAGEREF _Toc105333785 \h </w:instrText>
            </w:r>
            <w:r w:rsidR="00B96A3F">
              <w:rPr>
                <w:noProof/>
                <w:webHidden/>
              </w:rPr>
            </w:r>
            <w:r w:rsidR="00B96A3F">
              <w:rPr>
                <w:noProof/>
                <w:webHidden/>
              </w:rPr>
              <w:fldChar w:fldCharType="separate"/>
            </w:r>
            <w:r w:rsidR="00BD1EAC">
              <w:rPr>
                <w:noProof/>
                <w:webHidden/>
              </w:rPr>
              <w:t>34</w:t>
            </w:r>
            <w:r w:rsidR="00B96A3F">
              <w:rPr>
                <w:noProof/>
                <w:webHidden/>
              </w:rPr>
              <w:fldChar w:fldCharType="end"/>
            </w:r>
          </w:hyperlink>
        </w:p>
        <w:p w14:paraId="0CED12E6" w14:textId="6B5D3DA0" w:rsidR="00B96A3F" w:rsidRDefault="00EB4A55">
          <w:pPr>
            <w:pStyle w:val="TOC2"/>
            <w:rPr>
              <w:rFonts w:eastAsiaTheme="minorEastAsia" w:cstheme="minorBidi"/>
              <w:i w:val="0"/>
              <w:iCs w:val="0"/>
              <w:noProof/>
              <w:sz w:val="22"/>
              <w:szCs w:val="22"/>
            </w:rPr>
          </w:pPr>
          <w:hyperlink w:anchor="_Toc105333786" w:history="1">
            <w:r w:rsidR="00B96A3F" w:rsidRPr="00DC1219">
              <w:rPr>
                <w:rStyle w:val="Hyperlink"/>
                <w:rFonts w:ascii="Roboto" w:hAnsi="Roboto" w:cs="Calibri"/>
                <w:b/>
                <w:bCs/>
                <w:noProof/>
                <w:lang w:val="en-GB"/>
              </w:rPr>
              <w:t>3.4. UN Joint Workplans</w:t>
            </w:r>
            <w:r w:rsidR="00B96A3F">
              <w:rPr>
                <w:noProof/>
                <w:webHidden/>
              </w:rPr>
              <w:tab/>
            </w:r>
            <w:r w:rsidR="00B96A3F">
              <w:rPr>
                <w:noProof/>
                <w:webHidden/>
              </w:rPr>
              <w:fldChar w:fldCharType="begin"/>
            </w:r>
            <w:r w:rsidR="00B96A3F">
              <w:rPr>
                <w:noProof/>
                <w:webHidden/>
              </w:rPr>
              <w:instrText xml:space="preserve"> PAGEREF _Toc105333786 \h </w:instrText>
            </w:r>
            <w:r w:rsidR="00B96A3F">
              <w:rPr>
                <w:noProof/>
                <w:webHidden/>
              </w:rPr>
            </w:r>
            <w:r w:rsidR="00B96A3F">
              <w:rPr>
                <w:noProof/>
                <w:webHidden/>
              </w:rPr>
              <w:fldChar w:fldCharType="separate"/>
            </w:r>
            <w:r w:rsidR="00BD1EAC">
              <w:rPr>
                <w:noProof/>
                <w:webHidden/>
              </w:rPr>
              <w:t>34</w:t>
            </w:r>
            <w:r w:rsidR="00B96A3F">
              <w:rPr>
                <w:noProof/>
                <w:webHidden/>
              </w:rPr>
              <w:fldChar w:fldCharType="end"/>
            </w:r>
          </w:hyperlink>
        </w:p>
        <w:p w14:paraId="7DFAAF08" w14:textId="1655C822" w:rsidR="00B96A3F" w:rsidRDefault="00EB4A55">
          <w:pPr>
            <w:pStyle w:val="TOC2"/>
            <w:rPr>
              <w:rFonts w:eastAsiaTheme="minorEastAsia" w:cstheme="minorBidi"/>
              <w:i w:val="0"/>
              <w:iCs w:val="0"/>
              <w:noProof/>
              <w:sz w:val="22"/>
              <w:szCs w:val="22"/>
            </w:rPr>
          </w:pPr>
          <w:hyperlink w:anchor="_Toc105333787" w:history="1">
            <w:r w:rsidR="00B96A3F" w:rsidRPr="00DC1219">
              <w:rPr>
                <w:rStyle w:val="Hyperlink"/>
                <w:rFonts w:ascii="Roboto" w:hAnsi="Roboto" w:cs="Calibri"/>
                <w:b/>
                <w:bCs/>
                <w:noProof/>
                <w:lang w:val="en-GB"/>
              </w:rPr>
              <w:t>3.5. Business Operations Strategy in support of the UNSDCF</w:t>
            </w:r>
            <w:r w:rsidR="00B96A3F">
              <w:rPr>
                <w:noProof/>
                <w:webHidden/>
              </w:rPr>
              <w:tab/>
            </w:r>
            <w:r w:rsidR="00B96A3F">
              <w:rPr>
                <w:noProof/>
                <w:webHidden/>
              </w:rPr>
              <w:fldChar w:fldCharType="begin"/>
            </w:r>
            <w:r w:rsidR="00B96A3F">
              <w:rPr>
                <w:noProof/>
                <w:webHidden/>
              </w:rPr>
              <w:instrText xml:space="preserve"> PAGEREF _Toc105333787 \h </w:instrText>
            </w:r>
            <w:r w:rsidR="00B96A3F">
              <w:rPr>
                <w:noProof/>
                <w:webHidden/>
              </w:rPr>
            </w:r>
            <w:r w:rsidR="00B96A3F">
              <w:rPr>
                <w:noProof/>
                <w:webHidden/>
              </w:rPr>
              <w:fldChar w:fldCharType="separate"/>
            </w:r>
            <w:r w:rsidR="00BD1EAC">
              <w:rPr>
                <w:noProof/>
                <w:webHidden/>
              </w:rPr>
              <w:t>34</w:t>
            </w:r>
            <w:r w:rsidR="00B96A3F">
              <w:rPr>
                <w:noProof/>
                <w:webHidden/>
              </w:rPr>
              <w:fldChar w:fldCharType="end"/>
            </w:r>
          </w:hyperlink>
        </w:p>
        <w:p w14:paraId="1A4A810E" w14:textId="2B73D5EE" w:rsidR="00B96A3F" w:rsidRDefault="00EB4A55" w:rsidP="00330CDF">
          <w:pPr>
            <w:pStyle w:val="TOC1"/>
            <w:rPr>
              <w:rFonts w:eastAsiaTheme="minorEastAsia" w:cstheme="minorBidi"/>
              <w:noProof/>
              <w:sz w:val="22"/>
              <w:szCs w:val="22"/>
            </w:rPr>
          </w:pPr>
          <w:hyperlink w:anchor="_Toc105333789" w:history="1">
            <w:r w:rsidR="00B96A3F" w:rsidRPr="00DC1219">
              <w:rPr>
                <w:rStyle w:val="Hyperlink"/>
                <w:rFonts w:ascii="Roboto" w:hAnsi="Roboto" w:cs="Calibri"/>
                <w:noProof/>
                <w:lang w:val="en-GB"/>
              </w:rPr>
              <w:t>CHAPTER 4: MONITORING AND EVALUATION PLAN</w:t>
            </w:r>
            <w:r w:rsidR="00B96A3F">
              <w:rPr>
                <w:noProof/>
                <w:webHidden/>
              </w:rPr>
              <w:tab/>
            </w:r>
            <w:r w:rsidR="00B96A3F">
              <w:rPr>
                <w:noProof/>
                <w:webHidden/>
              </w:rPr>
              <w:fldChar w:fldCharType="begin"/>
            </w:r>
            <w:r w:rsidR="00B96A3F">
              <w:rPr>
                <w:noProof/>
                <w:webHidden/>
              </w:rPr>
              <w:instrText xml:space="preserve"> PAGEREF _Toc105333789 \h </w:instrText>
            </w:r>
            <w:r w:rsidR="00B96A3F">
              <w:rPr>
                <w:noProof/>
                <w:webHidden/>
              </w:rPr>
            </w:r>
            <w:r w:rsidR="00B96A3F">
              <w:rPr>
                <w:noProof/>
                <w:webHidden/>
              </w:rPr>
              <w:fldChar w:fldCharType="separate"/>
            </w:r>
            <w:r w:rsidR="00BD1EAC">
              <w:rPr>
                <w:noProof/>
                <w:webHidden/>
              </w:rPr>
              <w:t>36</w:t>
            </w:r>
            <w:r w:rsidR="00B96A3F">
              <w:rPr>
                <w:noProof/>
                <w:webHidden/>
              </w:rPr>
              <w:fldChar w:fldCharType="end"/>
            </w:r>
          </w:hyperlink>
        </w:p>
        <w:p w14:paraId="3745B447" w14:textId="39E8AAA6" w:rsidR="00B96A3F" w:rsidRDefault="00EB4A55">
          <w:pPr>
            <w:pStyle w:val="TOC2"/>
            <w:rPr>
              <w:rFonts w:eastAsiaTheme="minorEastAsia" w:cstheme="minorBidi"/>
              <w:i w:val="0"/>
              <w:iCs w:val="0"/>
              <w:noProof/>
              <w:sz w:val="22"/>
              <w:szCs w:val="22"/>
            </w:rPr>
          </w:pPr>
          <w:hyperlink w:anchor="_Toc105333790" w:history="1">
            <w:r w:rsidR="00B96A3F" w:rsidRPr="00DC1219">
              <w:rPr>
                <w:rStyle w:val="Hyperlink"/>
                <w:rFonts w:ascii="Roboto" w:hAnsi="Roboto" w:cs="Calibri"/>
                <w:b/>
                <w:bCs/>
                <w:noProof/>
                <w:lang w:val="en-GB"/>
              </w:rPr>
              <w:t>4.1. Monitoring Implementation of UN Joint Workplans</w:t>
            </w:r>
            <w:r w:rsidR="00B96A3F">
              <w:rPr>
                <w:noProof/>
                <w:webHidden/>
              </w:rPr>
              <w:tab/>
            </w:r>
            <w:r w:rsidR="00B96A3F">
              <w:rPr>
                <w:noProof/>
                <w:webHidden/>
              </w:rPr>
              <w:fldChar w:fldCharType="begin"/>
            </w:r>
            <w:r w:rsidR="00B96A3F">
              <w:rPr>
                <w:noProof/>
                <w:webHidden/>
              </w:rPr>
              <w:instrText xml:space="preserve"> PAGEREF _Toc105333790 \h </w:instrText>
            </w:r>
            <w:r w:rsidR="00B96A3F">
              <w:rPr>
                <w:noProof/>
                <w:webHidden/>
              </w:rPr>
            </w:r>
            <w:r w:rsidR="00B96A3F">
              <w:rPr>
                <w:noProof/>
                <w:webHidden/>
              </w:rPr>
              <w:fldChar w:fldCharType="separate"/>
            </w:r>
            <w:r w:rsidR="00BD1EAC">
              <w:rPr>
                <w:noProof/>
                <w:webHidden/>
              </w:rPr>
              <w:t>36</w:t>
            </w:r>
            <w:r w:rsidR="00B96A3F">
              <w:rPr>
                <w:noProof/>
                <w:webHidden/>
              </w:rPr>
              <w:fldChar w:fldCharType="end"/>
            </w:r>
          </w:hyperlink>
        </w:p>
        <w:p w14:paraId="0821D87F" w14:textId="240E2F10" w:rsidR="00B96A3F" w:rsidRDefault="00EB4A55">
          <w:pPr>
            <w:pStyle w:val="TOC2"/>
            <w:rPr>
              <w:rFonts w:eastAsiaTheme="minorEastAsia" w:cstheme="minorBidi"/>
              <w:i w:val="0"/>
              <w:iCs w:val="0"/>
              <w:noProof/>
              <w:sz w:val="22"/>
              <w:szCs w:val="22"/>
            </w:rPr>
          </w:pPr>
          <w:hyperlink w:anchor="_Toc105333791" w:history="1">
            <w:r w:rsidR="00B96A3F" w:rsidRPr="00DC1219">
              <w:rPr>
                <w:rStyle w:val="Hyperlink"/>
                <w:rFonts w:ascii="Roboto" w:hAnsi="Roboto" w:cs="Calibri"/>
                <w:b/>
                <w:bCs/>
                <w:noProof/>
                <w:lang w:val="en-GB"/>
              </w:rPr>
              <w:t>4.2. Annual Performance Review and Country Results Reporting</w:t>
            </w:r>
            <w:r w:rsidR="00B96A3F">
              <w:rPr>
                <w:noProof/>
                <w:webHidden/>
              </w:rPr>
              <w:tab/>
            </w:r>
            <w:r w:rsidR="00B96A3F">
              <w:rPr>
                <w:noProof/>
                <w:webHidden/>
              </w:rPr>
              <w:fldChar w:fldCharType="begin"/>
            </w:r>
            <w:r w:rsidR="00B96A3F">
              <w:rPr>
                <w:noProof/>
                <w:webHidden/>
              </w:rPr>
              <w:instrText xml:space="preserve"> PAGEREF _Toc105333791 \h </w:instrText>
            </w:r>
            <w:r w:rsidR="00B96A3F">
              <w:rPr>
                <w:noProof/>
                <w:webHidden/>
              </w:rPr>
            </w:r>
            <w:r w:rsidR="00B96A3F">
              <w:rPr>
                <w:noProof/>
                <w:webHidden/>
              </w:rPr>
              <w:fldChar w:fldCharType="separate"/>
            </w:r>
            <w:r w:rsidR="00BD1EAC">
              <w:rPr>
                <w:noProof/>
                <w:webHidden/>
              </w:rPr>
              <w:t>36</w:t>
            </w:r>
            <w:r w:rsidR="00B96A3F">
              <w:rPr>
                <w:noProof/>
                <w:webHidden/>
              </w:rPr>
              <w:fldChar w:fldCharType="end"/>
            </w:r>
          </w:hyperlink>
        </w:p>
        <w:p w14:paraId="157B254E" w14:textId="0B782700" w:rsidR="00B96A3F" w:rsidRDefault="00EB4A55">
          <w:pPr>
            <w:pStyle w:val="TOC2"/>
            <w:rPr>
              <w:rFonts w:eastAsiaTheme="minorEastAsia" w:cstheme="minorBidi"/>
              <w:i w:val="0"/>
              <w:iCs w:val="0"/>
              <w:noProof/>
              <w:sz w:val="22"/>
              <w:szCs w:val="22"/>
            </w:rPr>
          </w:pPr>
          <w:hyperlink w:anchor="_Toc105333792" w:history="1">
            <w:r w:rsidR="00B96A3F" w:rsidRPr="00DC1219">
              <w:rPr>
                <w:rStyle w:val="Hyperlink"/>
                <w:rFonts w:ascii="Roboto" w:hAnsi="Roboto" w:cs="Calibri"/>
                <w:b/>
                <w:bCs/>
                <w:noProof/>
                <w:lang w:val="en-GB"/>
              </w:rPr>
              <w:t>4.3. Evaluation Plan</w:t>
            </w:r>
            <w:r w:rsidR="00B96A3F">
              <w:rPr>
                <w:noProof/>
                <w:webHidden/>
              </w:rPr>
              <w:tab/>
            </w:r>
            <w:r w:rsidR="00B96A3F">
              <w:rPr>
                <w:noProof/>
                <w:webHidden/>
              </w:rPr>
              <w:fldChar w:fldCharType="begin"/>
            </w:r>
            <w:r w:rsidR="00B96A3F">
              <w:rPr>
                <w:noProof/>
                <w:webHidden/>
              </w:rPr>
              <w:instrText xml:space="preserve"> PAGEREF _Toc105333792 \h </w:instrText>
            </w:r>
            <w:r w:rsidR="00B96A3F">
              <w:rPr>
                <w:noProof/>
                <w:webHidden/>
              </w:rPr>
            </w:r>
            <w:r w:rsidR="00B96A3F">
              <w:rPr>
                <w:noProof/>
                <w:webHidden/>
              </w:rPr>
              <w:fldChar w:fldCharType="separate"/>
            </w:r>
            <w:r w:rsidR="00BD1EAC">
              <w:rPr>
                <w:noProof/>
                <w:webHidden/>
              </w:rPr>
              <w:t>37</w:t>
            </w:r>
            <w:r w:rsidR="00B96A3F">
              <w:rPr>
                <w:noProof/>
                <w:webHidden/>
              </w:rPr>
              <w:fldChar w:fldCharType="end"/>
            </w:r>
          </w:hyperlink>
        </w:p>
        <w:p w14:paraId="3052D869" w14:textId="1F9B0991" w:rsidR="00B96A3F" w:rsidRDefault="00EB4A55" w:rsidP="00330CDF">
          <w:pPr>
            <w:pStyle w:val="TOC1"/>
            <w:rPr>
              <w:rFonts w:eastAsiaTheme="minorEastAsia" w:cstheme="minorBidi"/>
              <w:noProof/>
              <w:sz w:val="22"/>
              <w:szCs w:val="22"/>
            </w:rPr>
          </w:pPr>
          <w:hyperlink w:anchor="_Toc105333793" w:history="1">
            <w:r w:rsidR="00B96A3F" w:rsidRPr="00DC1219">
              <w:rPr>
                <w:rStyle w:val="Hyperlink"/>
                <w:rFonts w:ascii="Roboto" w:hAnsi="Roboto" w:cs="Calibri"/>
                <w:noProof/>
                <w:lang w:val="en-GB"/>
              </w:rPr>
              <w:t>Annex A. Legal Annex</w:t>
            </w:r>
            <w:r w:rsidR="00B96A3F">
              <w:rPr>
                <w:noProof/>
                <w:webHidden/>
              </w:rPr>
              <w:tab/>
            </w:r>
            <w:r w:rsidR="00B96A3F">
              <w:rPr>
                <w:noProof/>
                <w:webHidden/>
              </w:rPr>
              <w:fldChar w:fldCharType="begin"/>
            </w:r>
            <w:r w:rsidR="00B96A3F">
              <w:rPr>
                <w:noProof/>
                <w:webHidden/>
              </w:rPr>
              <w:instrText xml:space="preserve"> PAGEREF _Toc105333793 \h </w:instrText>
            </w:r>
            <w:r w:rsidR="00B96A3F">
              <w:rPr>
                <w:noProof/>
                <w:webHidden/>
              </w:rPr>
            </w:r>
            <w:r w:rsidR="00B96A3F">
              <w:rPr>
                <w:noProof/>
                <w:webHidden/>
              </w:rPr>
              <w:fldChar w:fldCharType="separate"/>
            </w:r>
            <w:r w:rsidR="00BD1EAC">
              <w:rPr>
                <w:noProof/>
                <w:webHidden/>
              </w:rPr>
              <w:t>39</w:t>
            </w:r>
            <w:r w:rsidR="00B96A3F">
              <w:rPr>
                <w:noProof/>
                <w:webHidden/>
              </w:rPr>
              <w:fldChar w:fldCharType="end"/>
            </w:r>
          </w:hyperlink>
        </w:p>
        <w:p w14:paraId="7544FB06" w14:textId="0FEBB4FB" w:rsidR="00B96A3F" w:rsidRDefault="00EB4A55" w:rsidP="00330CDF">
          <w:pPr>
            <w:pStyle w:val="TOC1"/>
            <w:rPr>
              <w:rFonts w:eastAsiaTheme="minorEastAsia" w:cstheme="minorBidi"/>
              <w:noProof/>
              <w:sz w:val="22"/>
              <w:szCs w:val="22"/>
            </w:rPr>
          </w:pPr>
          <w:hyperlink w:anchor="_Toc105333794" w:history="1">
            <w:r w:rsidR="00B96A3F" w:rsidRPr="00DC1219">
              <w:rPr>
                <w:rStyle w:val="Hyperlink"/>
                <w:rFonts w:ascii="Roboto" w:hAnsi="Roboto" w:cs="Calibri"/>
                <w:noProof/>
                <w:lang w:val="en-GB"/>
              </w:rPr>
              <w:t>Annex B. UNSDCF Strategic Priorities Areas – Detailed Breakdown</w:t>
            </w:r>
            <w:r w:rsidR="00B96A3F">
              <w:rPr>
                <w:noProof/>
                <w:webHidden/>
              </w:rPr>
              <w:tab/>
            </w:r>
            <w:r w:rsidR="00B96A3F">
              <w:rPr>
                <w:noProof/>
                <w:webHidden/>
              </w:rPr>
              <w:fldChar w:fldCharType="begin"/>
            </w:r>
            <w:r w:rsidR="00B96A3F">
              <w:rPr>
                <w:noProof/>
                <w:webHidden/>
              </w:rPr>
              <w:instrText xml:space="preserve"> PAGEREF _Toc105333794 \h </w:instrText>
            </w:r>
            <w:r w:rsidR="00B96A3F">
              <w:rPr>
                <w:noProof/>
                <w:webHidden/>
              </w:rPr>
            </w:r>
            <w:r w:rsidR="00B96A3F">
              <w:rPr>
                <w:noProof/>
                <w:webHidden/>
              </w:rPr>
              <w:fldChar w:fldCharType="separate"/>
            </w:r>
            <w:r w:rsidR="00BD1EAC">
              <w:rPr>
                <w:noProof/>
                <w:webHidden/>
              </w:rPr>
              <w:t>42</w:t>
            </w:r>
            <w:r w:rsidR="00B96A3F">
              <w:rPr>
                <w:noProof/>
                <w:webHidden/>
              </w:rPr>
              <w:fldChar w:fldCharType="end"/>
            </w:r>
          </w:hyperlink>
        </w:p>
        <w:p w14:paraId="725F0EEF" w14:textId="46B42CE0" w:rsidR="00B96A3F" w:rsidRDefault="00EB4A55" w:rsidP="00330CDF">
          <w:pPr>
            <w:pStyle w:val="TOC1"/>
            <w:rPr>
              <w:rFonts w:eastAsiaTheme="minorEastAsia" w:cstheme="minorBidi"/>
              <w:noProof/>
              <w:sz w:val="22"/>
              <w:szCs w:val="22"/>
            </w:rPr>
          </w:pPr>
          <w:hyperlink w:anchor="_Toc105333795" w:history="1">
            <w:r w:rsidR="00B96A3F" w:rsidRPr="00DC1219">
              <w:rPr>
                <w:rStyle w:val="Hyperlink"/>
                <w:rFonts w:ascii="Roboto" w:hAnsi="Roboto" w:cs="Calibri"/>
                <w:noProof/>
                <w:lang w:val="en-GB"/>
              </w:rPr>
              <w:t>Annex C. The KSA’s Vision 2030 Framing of the Strategic Priority Areas</w:t>
            </w:r>
            <w:r w:rsidR="00B96A3F">
              <w:rPr>
                <w:noProof/>
                <w:webHidden/>
              </w:rPr>
              <w:tab/>
            </w:r>
            <w:r w:rsidR="00B96A3F">
              <w:rPr>
                <w:noProof/>
                <w:webHidden/>
              </w:rPr>
              <w:fldChar w:fldCharType="begin"/>
            </w:r>
            <w:r w:rsidR="00B96A3F">
              <w:rPr>
                <w:noProof/>
                <w:webHidden/>
              </w:rPr>
              <w:instrText xml:space="preserve"> PAGEREF _Toc105333795 \h </w:instrText>
            </w:r>
            <w:r w:rsidR="00B96A3F">
              <w:rPr>
                <w:noProof/>
                <w:webHidden/>
              </w:rPr>
            </w:r>
            <w:r w:rsidR="00B96A3F">
              <w:rPr>
                <w:noProof/>
                <w:webHidden/>
              </w:rPr>
              <w:fldChar w:fldCharType="separate"/>
            </w:r>
            <w:r w:rsidR="00BD1EAC">
              <w:rPr>
                <w:noProof/>
                <w:webHidden/>
              </w:rPr>
              <w:t>54</w:t>
            </w:r>
            <w:r w:rsidR="00B96A3F">
              <w:rPr>
                <w:noProof/>
                <w:webHidden/>
              </w:rPr>
              <w:fldChar w:fldCharType="end"/>
            </w:r>
          </w:hyperlink>
        </w:p>
        <w:p w14:paraId="43CCED78" w14:textId="384E171B" w:rsidR="00B96A3F" w:rsidRDefault="00EB4A55" w:rsidP="00330CDF">
          <w:pPr>
            <w:pStyle w:val="TOC1"/>
            <w:rPr>
              <w:rFonts w:eastAsiaTheme="minorEastAsia" w:cstheme="minorBidi"/>
              <w:noProof/>
              <w:sz w:val="22"/>
              <w:szCs w:val="22"/>
            </w:rPr>
          </w:pPr>
          <w:hyperlink w:anchor="_Toc105333796" w:history="1">
            <w:r w:rsidR="00B96A3F" w:rsidRPr="00DC1219">
              <w:rPr>
                <w:rStyle w:val="Hyperlink"/>
                <w:rFonts w:ascii="Roboto" w:hAnsi="Roboto" w:cs="Calibri"/>
                <w:noProof/>
                <w:lang w:val="en-GB"/>
              </w:rPr>
              <w:t>Annex D. Business Operations Strategy in Support of the UNSDCF</w:t>
            </w:r>
            <w:r w:rsidR="00B96A3F">
              <w:rPr>
                <w:noProof/>
                <w:webHidden/>
              </w:rPr>
              <w:tab/>
            </w:r>
            <w:r w:rsidR="00B96A3F">
              <w:rPr>
                <w:noProof/>
                <w:webHidden/>
              </w:rPr>
              <w:fldChar w:fldCharType="begin"/>
            </w:r>
            <w:r w:rsidR="00B96A3F">
              <w:rPr>
                <w:noProof/>
                <w:webHidden/>
              </w:rPr>
              <w:instrText xml:space="preserve"> PAGEREF _Toc105333796 \h </w:instrText>
            </w:r>
            <w:r w:rsidR="00B96A3F">
              <w:rPr>
                <w:noProof/>
                <w:webHidden/>
              </w:rPr>
            </w:r>
            <w:r w:rsidR="00B96A3F">
              <w:rPr>
                <w:noProof/>
                <w:webHidden/>
              </w:rPr>
              <w:fldChar w:fldCharType="separate"/>
            </w:r>
            <w:r w:rsidR="00BD1EAC">
              <w:rPr>
                <w:noProof/>
                <w:webHidden/>
              </w:rPr>
              <w:t>64</w:t>
            </w:r>
            <w:r w:rsidR="00B96A3F">
              <w:rPr>
                <w:noProof/>
                <w:webHidden/>
              </w:rPr>
              <w:fldChar w:fldCharType="end"/>
            </w:r>
          </w:hyperlink>
        </w:p>
        <w:p w14:paraId="27BEFE2B" w14:textId="75644B10" w:rsidR="00B96A3F" w:rsidRDefault="00EB4A55" w:rsidP="00330CDF">
          <w:pPr>
            <w:pStyle w:val="TOC1"/>
            <w:rPr>
              <w:rFonts w:eastAsiaTheme="minorEastAsia" w:cstheme="minorBidi"/>
              <w:noProof/>
              <w:sz w:val="22"/>
              <w:szCs w:val="22"/>
            </w:rPr>
          </w:pPr>
          <w:hyperlink w:anchor="_Toc105333797" w:history="1">
            <w:r w:rsidR="00B96A3F" w:rsidRPr="00DC1219">
              <w:rPr>
                <w:rStyle w:val="Hyperlink"/>
                <w:rFonts w:ascii="Roboto" w:hAnsi="Roboto" w:cs="Calibri"/>
                <w:noProof/>
                <w:lang w:val="en-GB"/>
              </w:rPr>
              <w:t>Annex E. Figure E.1: Solution Tree: Results Framework at Outcome Level</w:t>
            </w:r>
            <w:r w:rsidR="00B96A3F">
              <w:rPr>
                <w:noProof/>
                <w:webHidden/>
              </w:rPr>
              <w:tab/>
            </w:r>
            <w:r w:rsidR="00B96A3F">
              <w:rPr>
                <w:noProof/>
                <w:webHidden/>
              </w:rPr>
              <w:fldChar w:fldCharType="begin"/>
            </w:r>
            <w:r w:rsidR="00B96A3F">
              <w:rPr>
                <w:noProof/>
                <w:webHidden/>
              </w:rPr>
              <w:instrText xml:space="preserve"> PAGEREF _Toc105333797 \h </w:instrText>
            </w:r>
            <w:r w:rsidR="00B96A3F">
              <w:rPr>
                <w:noProof/>
                <w:webHidden/>
              </w:rPr>
            </w:r>
            <w:r w:rsidR="00B96A3F">
              <w:rPr>
                <w:noProof/>
                <w:webHidden/>
              </w:rPr>
              <w:fldChar w:fldCharType="separate"/>
            </w:r>
            <w:r w:rsidR="00BD1EAC">
              <w:rPr>
                <w:noProof/>
                <w:webHidden/>
              </w:rPr>
              <w:t>65</w:t>
            </w:r>
            <w:r w:rsidR="00B96A3F">
              <w:rPr>
                <w:noProof/>
                <w:webHidden/>
              </w:rPr>
              <w:fldChar w:fldCharType="end"/>
            </w:r>
          </w:hyperlink>
        </w:p>
        <w:p w14:paraId="65298ED6" w14:textId="63EA6794" w:rsidR="00B96A3F" w:rsidRDefault="00EB4A55" w:rsidP="00330CDF">
          <w:pPr>
            <w:pStyle w:val="TOC1"/>
            <w:rPr>
              <w:rFonts w:eastAsiaTheme="minorEastAsia" w:cstheme="minorBidi"/>
              <w:noProof/>
              <w:sz w:val="22"/>
              <w:szCs w:val="22"/>
            </w:rPr>
          </w:pPr>
          <w:hyperlink w:anchor="_Toc105333798" w:history="1">
            <w:r w:rsidR="00B96A3F" w:rsidRPr="00DC1219">
              <w:rPr>
                <w:rStyle w:val="Hyperlink"/>
                <w:rFonts w:ascii="Roboto" w:hAnsi="Roboto" w:cs="Calibri"/>
                <w:noProof/>
                <w:lang w:val="en-GB"/>
              </w:rPr>
              <w:t>Annex F. The UNCT Coordination Framework</w:t>
            </w:r>
            <w:r w:rsidR="00B96A3F">
              <w:rPr>
                <w:noProof/>
                <w:webHidden/>
              </w:rPr>
              <w:tab/>
            </w:r>
            <w:r w:rsidR="00B96A3F">
              <w:rPr>
                <w:noProof/>
                <w:webHidden/>
              </w:rPr>
              <w:fldChar w:fldCharType="begin"/>
            </w:r>
            <w:r w:rsidR="00B96A3F">
              <w:rPr>
                <w:noProof/>
                <w:webHidden/>
              </w:rPr>
              <w:instrText xml:space="preserve"> PAGEREF _Toc105333798 \h </w:instrText>
            </w:r>
            <w:r w:rsidR="00B96A3F">
              <w:rPr>
                <w:noProof/>
                <w:webHidden/>
              </w:rPr>
            </w:r>
            <w:r w:rsidR="00B96A3F">
              <w:rPr>
                <w:noProof/>
                <w:webHidden/>
              </w:rPr>
              <w:fldChar w:fldCharType="separate"/>
            </w:r>
            <w:r w:rsidR="00BD1EAC">
              <w:rPr>
                <w:noProof/>
                <w:webHidden/>
              </w:rPr>
              <w:t>66</w:t>
            </w:r>
            <w:r w:rsidR="00B96A3F">
              <w:rPr>
                <w:noProof/>
                <w:webHidden/>
              </w:rPr>
              <w:fldChar w:fldCharType="end"/>
            </w:r>
          </w:hyperlink>
        </w:p>
        <w:p w14:paraId="38EE3030" w14:textId="3AEFA82C" w:rsidR="00871C7A" w:rsidRPr="00645128" w:rsidRDefault="00871C7A" w:rsidP="00FA4919">
          <w:pPr>
            <w:tabs>
              <w:tab w:val="left" w:pos="7368"/>
            </w:tabs>
            <w:rPr>
              <w:rFonts w:ascii="Roboto" w:hAnsi="Roboto"/>
              <w:color w:val="404040" w:themeColor="text1" w:themeTint="BF"/>
              <w:lang w:val="en-GB"/>
            </w:rPr>
          </w:pPr>
          <w:r w:rsidRPr="00464AC3">
            <w:rPr>
              <w:rFonts w:ascii="Roboto" w:hAnsi="Roboto"/>
              <w:b/>
              <w:color w:val="404040" w:themeColor="text1" w:themeTint="BF"/>
              <w:sz w:val="22"/>
              <w:szCs w:val="22"/>
              <w:lang w:val="en-GB"/>
            </w:rPr>
            <w:fldChar w:fldCharType="end"/>
          </w:r>
        </w:p>
      </w:sdtContent>
    </w:sdt>
    <w:p w14:paraId="3D7DFD46" w14:textId="73469641" w:rsidR="00871C7A" w:rsidRPr="003C206F" w:rsidRDefault="00871C7A">
      <w:pPr>
        <w:rPr>
          <w:rFonts w:ascii="Roboto" w:hAnsi="Roboto"/>
          <w:b/>
          <w:bCs/>
          <w:color w:val="404040" w:themeColor="text1" w:themeTint="BF"/>
          <w:lang w:val="en-GB"/>
        </w:rPr>
      </w:pPr>
      <w:r w:rsidRPr="003C206F">
        <w:rPr>
          <w:rFonts w:ascii="Roboto" w:hAnsi="Roboto"/>
          <w:b/>
          <w:bCs/>
          <w:color w:val="404040" w:themeColor="text1" w:themeTint="BF"/>
          <w:lang w:val="en-GB"/>
        </w:rPr>
        <w:br w:type="page"/>
      </w:r>
    </w:p>
    <w:p w14:paraId="068A59A2" w14:textId="7B9309B5" w:rsidR="00871C7A" w:rsidRPr="003C206F" w:rsidRDefault="00871C7A" w:rsidP="008D79DF">
      <w:pPr>
        <w:rPr>
          <w:rFonts w:ascii="Roboto" w:hAnsi="Roboto"/>
          <w:b/>
          <w:bCs/>
          <w:color w:val="404040" w:themeColor="text1" w:themeTint="BF"/>
          <w:lang w:val="en-GB"/>
        </w:rPr>
      </w:pPr>
      <w:r>
        <w:rPr>
          <w:rFonts w:ascii="Roboto" w:hAnsi="Roboto"/>
          <w:b/>
          <w:bCs/>
          <w:noProof/>
          <w:color w:val="404040" w:themeColor="text1" w:themeTint="BF"/>
          <w:lang w:val="en-GB"/>
        </w:rPr>
        <w:lastRenderedPageBreak/>
        <w:drawing>
          <wp:anchor distT="0" distB="0" distL="114300" distR="114300" simplePos="0" relativeHeight="251740238" behindDoc="1" locked="0" layoutInCell="1" allowOverlap="1" wp14:anchorId="55FACBF9" wp14:editId="3BD5D7EF">
            <wp:simplePos x="0" y="0"/>
            <wp:positionH relativeFrom="column">
              <wp:posOffset>-914371</wp:posOffset>
            </wp:positionH>
            <wp:positionV relativeFrom="paragraph">
              <wp:posOffset>-997527</wp:posOffset>
            </wp:positionV>
            <wp:extent cx="7607041" cy="10764982"/>
            <wp:effectExtent l="0" t="0" r="635" b="508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7">
                      <a:extLst>
                        <a:ext uri="{28A0092B-C50C-407E-A947-70E740481C1C}">
                          <a14:useLocalDpi xmlns:a14="http://schemas.microsoft.com/office/drawing/2010/main" val="0"/>
                        </a:ext>
                      </a:extLst>
                    </a:blip>
                    <a:stretch>
                      <a:fillRect/>
                    </a:stretch>
                  </pic:blipFill>
                  <pic:spPr>
                    <a:xfrm>
                      <a:off x="0" y="0"/>
                      <a:ext cx="7630035" cy="10797522"/>
                    </a:xfrm>
                    <a:prstGeom prst="rect">
                      <a:avLst/>
                    </a:prstGeom>
                  </pic:spPr>
                </pic:pic>
              </a:graphicData>
            </a:graphic>
            <wp14:sizeRelH relativeFrom="page">
              <wp14:pctWidth>0</wp14:pctWidth>
            </wp14:sizeRelH>
            <wp14:sizeRelV relativeFrom="page">
              <wp14:pctHeight>0</wp14:pctHeight>
            </wp14:sizeRelV>
          </wp:anchor>
        </w:drawing>
      </w:r>
    </w:p>
    <w:p w14:paraId="75C94469" w14:textId="0DFDD3EE" w:rsidR="00871C7A" w:rsidRPr="003C206F" w:rsidRDefault="00871C7A">
      <w:pPr>
        <w:rPr>
          <w:rFonts w:ascii="Roboto" w:hAnsi="Roboto"/>
          <w:b/>
          <w:bCs/>
          <w:color w:val="404040" w:themeColor="text1" w:themeTint="BF"/>
          <w:lang w:val="en-GB"/>
        </w:rPr>
      </w:pPr>
    </w:p>
    <w:p w14:paraId="62563224" w14:textId="11350536" w:rsidR="00871C7A" w:rsidRPr="003C206F" w:rsidRDefault="00871C7A" w:rsidP="00D55970">
      <w:pPr>
        <w:rPr>
          <w:rFonts w:ascii="Roboto" w:hAnsi="Roboto"/>
          <w:b/>
          <w:bCs/>
          <w:color w:val="404040" w:themeColor="text1" w:themeTint="BF"/>
          <w:lang w:val="en-GB"/>
        </w:rPr>
      </w:pPr>
      <w:r w:rsidRPr="003C206F">
        <w:rPr>
          <w:rFonts w:ascii="Roboto" w:hAnsi="Roboto"/>
          <w:b/>
          <w:bCs/>
          <w:noProof/>
          <w:color w:val="404040" w:themeColor="text1" w:themeTint="BF"/>
          <w:lang w:val="en-GB"/>
        </w:rPr>
        <mc:AlternateContent>
          <mc:Choice Requires="wps">
            <w:drawing>
              <wp:anchor distT="0" distB="0" distL="114300" distR="114300" simplePos="0" relativeHeight="251668558" behindDoc="0" locked="0" layoutInCell="1" allowOverlap="1" wp14:anchorId="2563A7B7" wp14:editId="761F8BA2">
                <wp:simplePos x="0" y="0"/>
                <wp:positionH relativeFrom="column">
                  <wp:posOffset>449825</wp:posOffset>
                </wp:positionH>
                <wp:positionV relativeFrom="paragraph">
                  <wp:posOffset>2583917</wp:posOffset>
                </wp:positionV>
                <wp:extent cx="3075039" cy="25273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3075039" cy="2527300"/>
                        </a:xfrm>
                        <a:prstGeom prst="rect">
                          <a:avLst/>
                        </a:prstGeom>
                        <a:noFill/>
                        <a:ln w="6350">
                          <a:noFill/>
                        </a:ln>
                      </wps:spPr>
                      <wps:txbx>
                        <w:txbxContent>
                          <w:p w14:paraId="65847679" w14:textId="77777777" w:rsidR="00860F08" w:rsidRDefault="00860F08" w:rsidP="00860F08">
                            <w:pPr>
                              <w:pStyle w:val="Heading1"/>
                              <w:rPr>
                                <w:rFonts w:ascii="Roboto" w:hAnsi="Roboto"/>
                                <w:b/>
                                <w:bCs/>
                                <w:color w:val="FFFFFF" w:themeColor="background1"/>
                                <w:sz w:val="56"/>
                                <w:szCs w:val="56"/>
                              </w:rPr>
                            </w:pPr>
                            <w:bookmarkStart w:id="10" w:name="_Toc85548174"/>
                            <w:bookmarkStart w:id="11" w:name="_Toc85548594"/>
                            <w:bookmarkStart w:id="12" w:name="_Toc85624120"/>
                            <w:bookmarkStart w:id="13" w:name="_Toc85624750"/>
                            <w:bookmarkStart w:id="14" w:name="_Toc85624826"/>
                            <w:bookmarkStart w:id="15" w:name="_Toc85625632"/>
                            <w:bookmarkStart w:id="16" w:name="_Toc86580424"/>
                            <w:bookmarkStart w:id="17" w:name="_Toc88667602"/>
                            <w:bookmarkStart w:id="18" w:name="_Toc92277960"/>
                            <w:bookmarkStart w:id="19" w:name="_Toc92289482"/>
                            <w:bookmarkStart w:id="20" w:name="_Toc94103121"/>
                            <w:bookmarkStart w:id="21" w:name="_Toc94103236"/>
                            <w:bookmarkStart w:id="22" w:name="_Toc105333772"/>
                            <w:r w:rsidRPr="0000729D">
                              <w:rPr>
                                <w:rFonts w:ascii="Roboto" w:hAnsi="Roboto"/>
                                <w:b/>
                                <w:bCs/>
                                <w:color w:val="FFFFFF" w:themeColor="background1"/>
                                <w:sz w:val="56"/>
                                <w:szCs w:val="56"/>
                              </w:rPr>
                              <w:t>CHAPTER 1</w:t>
                            </w:r>
                            <w:bookmarkEnd w:id="10"/>
                            <w:bookmarkEnd w:id="11"/>
                            <w:bookmarkEnd w:id="12"/>
                            <w:bookmarkEnd w:id="13"/>
                            <w:bookmarkEnd w:id="14"/>
                            <w:bookmarkEnd w:id="15"/>
                            <w:bookmarkEnd w:id="16"/>
                            <w:bookmarkEnd w:id="17"/>
                            <w:bookmarkEnd w:id="18"/>
                            <w:bookmarkEnd w:id="19"/>
                            <w:bookmarkEnd w:id="20"/>
                            <w:bookmarkEnd w:id="21"/>
                            <w:bookmarkEnd w:id="22"/>
                          </w:p>
                          <w:p w14:paraId="25C1F333" w14:textId="77777777" w:rsidR="00860F08" w:rsidRPr="006F4C28" w:rsidRDefault="00860F08" w:rsidP="00860F08">
                            <w:pPr>
                              <w:pStyle w:val="KSASubHead2-Blue"/>
                            </w:pPr>
                            <w:r>
                              <w:t xml:space="preserve">THE </w:t>
                            </w:r>
                            <w:r w:rsidRPr="006F4C28">
                              <w:t>K</w:t>
                            </w:r>
                            <w:r>
                              <w:t xml:space="preserve">INGDOM OF </w:t>
                            </w:r>
                            <w:r w:rsidRPr="006F4C28">
                              <w:t>S</w:t>
                            </w:r>
                            <w:r>
                              <w:t xml:space="preserve">AUDI </w:t>
                            </w:r>
                            <w:r w:rsidRPr="006F4C28">
                              <w:t>A</w:t>
                            </w:r>
                            <w:r>
                              <w:t>RABIA</w:t>
                            </w:r>
                            <w:r w:rsidRPr="006F4C28">
                              <w:t>’</w:t>
                            </w:r>
                            <w:r w:rsidRPr="006F4C28">
                              <w:t xml:space="preserve">S PROGRESS </w:t>
                            </w:r>
                          </w:p>
                          <w:p w14:paraId="1C9BACF1" w14:textId="5F29EEFA" w:rsidR="00860F08" w:rsidRPr="006F4C28" w:rsidRDefault="00860F08" w:rsidP="00860F08">
                            <w:pPr>
                              <w:pStyle w:val="KSASubHead2-Blue"/>
                            </w:pPr>
                            <w:r w:rsidRPr="006F4C28">
                              <w:t xml:space="preserve">TOWARDS THE </w:t>
                            </w:r>
                            <w:r w:rsidR="002704D0">
                              <w:t>UN</w:t>
                            </w:r>
                            <w:r w:rsidR="002704D0">
                              <w:t>’</w:t>
                            </w:r>
                            <w:r w:rsidR="002704D0">
                              <w:t>s</w:t>
                            </w:r>
                          </w:p>
                          <w:p w14:paraId="1B4662FC" w14:textId="77777777" w:rsidR="00860F08" w:rsidRPr="006F4C28" w:rsidRDefault="00860F08" w:rsidP="00860F08">
                            <w:pPr>
                              <w:pStyle w:val="KSASubHead2-Blue"/>
                            </w:pPr>
                            <w:r w:rsidRPr="006F4C28">
                              <w:t>2030 AGENDA</w:t>
                            </w:r>
                          </w:p>
                          <w:p w14:paraId="49B7B134" w14:textId="77777777" w:rsidR="00C74675" w:rsidRPr="006006AF" w:rsidRDefault="00C74675" w:rsidP="00600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3A7B7" id="Text Box 19" o:spid="_x0000_s1027" type="#_x0000_t202" style="position:absolute;margin-left:35.4pt;margin-top:203.45pt;width:242.15pt;height:199pt;z-index:2516685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vWGg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" filled="f" stroked="f" strokeweight=".5pt">
                <v:textbox>
                  <w:txbxContent>
                    <w:p w14:paraId="65847679" w14:textId="77777777" w:rsidR="00860F08" w:rsidRDefault="00860F08" w:rsidP="00860F08">
                      <w:pPr>
                        <w:pStyle w:val="Heading1"/>
                        <w:rPr>
                          <w:rFonts w:ascii="Roboto" w:hAnsi="Roboto"/>
                          <w:b/>
                          <w:bCs/>
                          <w:color w:val="FFFFFF" w:themeColor="background1"/>
                          <w:sz w:val="56"/>
                          <w:szCs w:val="56"/>
                        </w:rPr>
                      </w:pPr>
                      <w:bookmarkStart w:id="23" w:name="_Toc85548174"/>
                      <w:bookmarkStart w:id="24" w:name="_Toc85548594"/>
                      <w:bookmarkStart w:id="25" w:name="_Toc85624120"/>
                      <w:bookmarkStart w:id="26" w:name="_Toc85624750"/>
                      <w:bookmarkStart w:id="27" w:name="_Toc85624826"/>
                      <w:bookmarkStart w:id="28" w:name="_Toc85625632"/>
                      <w:bookmarkStart w:id="29" w:name="_Toc86580424"/>
                      <w:bookmarkStart w:id="30" w:name="_Toc88667602"/>
                      <w:bookmarkStart w:id="31" w:name="_Toc92277960"/>
                      <w:bookmarkStart w:id="32" w:name="_Toc92289482"/>
                      <w:bookmarkStart w:id="33" w:name="_Toc94103121"/>
                      <w:bookmarkStart w:id="34" w:name="_Toc94103236"/>
                      <w:bookmarkStart w:id="35" w:name="_Toc105333772"/>
                      <w:r w:rsidRPr="0000729D">
                        <w:rPr>
                          <w:rFonts w:ascii="Roboto" w:hAnsi="Roboto"/>
                          <w:b/>
                          <w:bCs/>
                          <w:color w:val="FFFFFF" w:themeColor="background1"/>
                          <w:sz w:val="56"/>
                          <w:szCs w:val="56"/>
                        </w:rPr>
                        <w:t>CHAPTER 1</w:t>
                      </w:r>
                      <w:bookmarkEnd w:id="23"/>
                      <w:bookmarkEnd w:id="24"/>
                      <w:bookmarkEnd w:id="25"/>
                      <w:bookmarkEnd w:id="26"/>
                      <w:bookmarkEnd w:id="27"/>
                      <w:bookmarkEnd w:id="28"/>
                      <w:bookmarkEnd w:id="29"/>
                      <w:bookmarkEnd w:id="30"/>
                      <w:bookmarkEnd w:id="31"/>
                      <w:bookmarkEnd w:id="32"/>
                      <w:bookmarkEnd w:id="33"/>
                      <w:bookmarkEnd w:id="34"/>
                      <w:bookmarkEnd w:id="35"/>
                    </w:p>
                    <w:p w14:paraId="25C1F333" w14:textId="77777777" w:rsidR="00860F08" w:rsidRPr="006F4C28" w:rsidRDefault="00860F08" w:rsidP="00860F08">
                      <w:pPr>
                        <w:pStyle w:val="KSASubHead2-Blue"/>
                      </w:pPr>
                      <w:r>
                        <w:t xml:space="preserve">THE </w:t>
                      </w:r>
                      <w:r w:rsidRPr="006F4C28">
                        <w:t>K</w:t>
                      </w:r>
                      <w:r>
                        <w:t xml:space="preserve">INGDOM OF </w:t>
                      </w:r>
                      <w:r w:rsidRPr="006F4C28">
                        <w:t>S</w:t>
                      </w:r>
                      <w:r>
                        <w:t xml:space="preserve">AUDI </w:t>
                      </w:r>
                      <w:r w:rsidRPr="006F4C28">
                        <w:t>A</w:t>
                      </w:r>
                      <w:r>
                        <w:t>RABIA</w:t>
                      </w:r>
                      <w:r w:rsidRPr="006F4C28">
                        <w:t>’</w:t>
                      </w:r>
                      <w:r w:rsidRPr="006F4C28">
                        <w:t xml:space="preserve">S PROGRESS </w:t>
                      </w:r>
                    </w:p>
                    <w:p w14:paraId="1C9BACF1" w14:textId="5F29EEFA" w:rsidR="00860F08" w:rsidRPr="006F4C28" w:rsidRDefault="00860F08" w:rsidP="00860F08">
                      <w:pPr>
                        <w:pStyle w:val="KSASubHead2-Blue"/>
                      </w:pPr>
                      <w:r w:rsidRPr="006F4C28">
                        <w:t xml:space="preserve">TOWARDS THE </w:t>
                      </w:r>
                      <w:r w:rsidR="002704D0">
                        <w:t>UN</w:t>
                      </w:r>
                      <w:r w:rsidR="002704D0">
                        <w:t>’</w:t>
                      </w:r>
                      <w:r w:rsidR="002704D0">
                        <w:t>s</w:t>
                      </w:r>
                    </w:p>
                    <w:p w14:paraId="1B4662FC" w14:textId="77777777" w:rsidR="00860F08" w:rsidRPr="006F4C28" w:rsidRDefault="00860F08" w:rsidP="00860F08">
                      <w:pPr>
                        <w:pStyle w:val="KSASubHead2-Blue"/>
                      </w:pPr>
                      <w:r w:rsidRPr="006F4C28">
                        <w:t>2030 AGENDA</w:t>
                      </w:r>
                    </w:p>
                    <w:p w14:paraId="49B7B134" w14:textId="77777777" w:rsidR="00C74675" w:rsidRPr="006006AF" w:rsidRDefault="00C74675" w:rsidP="006006AF"/>
                  </w:txbxContent>
                </v:textbox>
              </v:shape>
            </w:pict>
          </mc:Fallback>
        </mc:AlternateContent>
      </w:r>
      <w:r w:rsidRPr="003C206F">
        <w:rPr>
          <w:rFonts w:ascii="Roboto" w:hAnsi="Roboto"/>
          <w:b/>
          <w:bCs/>
          <w:color w:val="404040" w:themeColor="text1" w:themeTint="BF"/>
          <w:lang w:val="en-GB"/>
        </w:rPr>
        <w:br w:type="page"/>
      </w:r>
    </w:p>
    <w:p w14:paraId="52A0F13E" w14:textId="40E6471C" w:rsidR="004322A6" w:rsidRPr="00416CCF" w:rsidRDefault="004322A6" w:rsidP="004322A6">
      <w:pPr>
        <w:pStyle w:val="Heading1"/>
        <w:spacing w:before="0"/>
        <w:rPr>
          <w:rFonts w:ascii="Roboto" w:eastAsia="Times New Roman" w:hAnsi="Roboto"/>
          <w:b/>
          <w:bCs/>
          <w:color w:val="4472C4" w:themeColor="accent1"/>
          <w:sz w:val="26"/>
          <w:szCs w:val="26"/>
          <w:lang w:val="en-GB"/>
        </w:rPr>
      </w:pPr>
      <w:bookmarkStart w:id="36" w:name="_Toc86691835"/>
      <w:bookmarkStart w:id="37" w:name="_Toc86704796"/>
      <w:bookmarkStart w:id="38" w:name="_Toc92277961"/>
      <w:bookmarkStart w:id="39" w:name="_Toc105333773"/>
      <w:r w:rsidRPr="00416CCF">
        <w:rPr>
          <w:rFonts w:ascii="Roboto" w:hAnsi="Roboto" w:cs="Calibri"/>
          <w:b/>
          <w:bCs/>
          <w:color w:val="4472C4" w:themeColor="accent1"/>
          <w:sz w:val="26"/>
          <w:szCs w:val="26"/>
          <w:lang w:val="en-GB"/>
        </w:rPr>
        <w:lastRenderedPageBreak/>
        <w:t>CHAPTER 1: THE KINGDOM OF SAUDI ARABIA’S PROGRESS TOWARDS THE</w:t>
      </w:r>
      <w:r w:rsidR="002704D0">
        <w:rPr>
          <w:rFonts w:ascii="Roboto" w:hAnsi="Roboto" w:cs="Calibri"/>
          <w:b/>
          <w:bCs/>
          <w:color w:val="4472C4" w:themeColor="accent1"/>
          <w:sz w:val="26"/>
          <w:szCs w:val="26"/>
          <w:lang w:val="en-GB"/>
        </w:rPr>
        <w:t xml:space="preserve"> UN’s</w:t>
      </w:r>
      <w:r w:rsidRPr="00416CCF">
        <w:rPr>
          <w:rFonts w:ascii="Roboto" w:hAnsi="Roboto" w:cs="Calibri"/>
          <w:b/>
          <w:bCs/>
          <w:color w:val="4472C4" w:themeColor="accent1"/>
          <w:sz w:val="26"/>
          <w:szCs w:val="26"/>
          <w:lang w:val="en-GB"/>
        </w:rPr>
        <w:t xml:space="preserve"> 2030 AGENDA</w:t>
      </w:r>
      <w:bookmarkEnd w:id="36"/>
      <w:bookmarkEnd w:id="37"/>
      <w:bookmarkEnd w:id="38"/>
      <w:bookmarkEnd w:id="39"/>
      <w:r w:rsidRPr="00416CCF">
        <w:rPr>
          <w:rFonts w:ascii="Roboto" w:hAnsi="Roboto" w:cs="Calibri"/>
          <w:b/>
          <w:bCs/>
          <w:color w:val="4472C4" w:themeColor="accent1"/>
          <w:sz w:val="26"/>
          <w:szCs w:val="26"/>
          <w:lang w:val="en-GB"/>
        </w:rPr>
        <w:t> </w:t>
      </w:r>
    </w:p>
    <w:p w14:paraId="0353AA07" w14:textId="77777777" w:rsidR="004322A6" w:rsidRPr="003C206F" w:rsidRDefault="004322A6" w:rsidP="004322A6">
      <w:pPr>
        <w:rPr>
          <w:rFonts w:ascii="Roboto" w:hAnsi="Roboto"/>
          <w:b/>
          <w:bCs/>
          <w:color w:val="404040" w:themeColor="text1" w:themeTint="BF"/>
          <w:lang w:val="en-GB"/>
        </w:rPr>
      </w:pPr>
    </w:p>
    <w:p w14:paraId="3BAE7222" w14:textId="48567A69" w:rsidR="004322A6" w:rsidRPr="003C206F" w:rsidRDefault="004322A6" w:rsidP="004322A6">
      <w:pPr>
        <w:pStyle w:val="NormalWeb"/>
        <w:spacing w:before="0" w:beforeAutospacing="0" w:after="20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is a pledge to ensure social inclusion, environmental protection, </w:t>
      </w:r>
      <w:r>
        <w:rPr>
          <w:rFonts w:ascii="Roboto" w:hAnsi="Roboto" w:cs="Calibri"/>
          <w:color w:val="404040" w:themeColor="text1" w:themeTint="BF"/>
          <w:sz w:val="21"/>
          <w:szCs w:val="21"/>
          <w:lang w:val="en-GB"/>
        </w:rPr>
        <w:t xml:space="preserve">and </w:t>
      </w:r>
      <w:r w:rsidRPr="003C206F">
        <w:rPr>
          <w:rFonts w:ascii="Roboto" w:hAnsi="Roboto" w:cs="Calibri"/>
          <w:color w:val="404040" w:themeColor="text1" w:themeTint="BF"/>
          <w:sz w:val="21"/>
          <w:szCs w:val="21"/>
          <w:lang w:val="en-GB"/>
        </w:rPr>
        <w:t>sustained and inclusive economic growth</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and to do so in partnership and peace. </w:t>
      </w:r>
      <w:r w:rsidR="00FD0667">
        <w:rPr>
          <w:rFonts w:ascii="Roboto" w:hAnsi="Roboto" w:cs="Calibri"/>
          <w:color w:val="404040" w:themeColor="text1" w:themeTint="BF"/>
          <w:sz w:val="21"/>
          <w:szCs w:val="21"/>
          <w:lang w:val="en-GB"/>
        </w:rPr>
        <w:t>T</w:t>
      </w:r>
      <w:r w:rsidRPr="003C206F">
        <w:rPr>
          <w:rFonts w:ascii="Roboto" w:hAnsi="Roboto" w:cs="Calibri"/>
          <w:color w:val="404040" w:themeColor="text1" w:themeTint="BF"/>
          <w:sz w:val="21"/>
          <w:szCs w:val="21"/>
          <w:lang w:val="en-GB"/>
        </w:rPr>
        <w:t xml:space="preserve">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is universal in scope and commits all countries</w:t>
      </w:r>
      <w:r>
        <w:rPr>
          <w:rFonts w:ascii="Roboto" w:hAnsi="Roboto" w:cs="Calibri"/>
          <w:color w:val="404040" w:themeColor="text1" w:themeTint="BF"/>
          <w:sz w:val="21"/>
          <w:szCs w:val="21"/>
          <w:lang w:val="en-GB"/>
        </w:rPr>
        <w:t xml:space="preserve"> to contribute towards comprehensive sustainable development, irrespective of their income level and development status</w:t>
      </w:r>
      <w:r w:rsidRPr="003C206F">
        <w:rPr>
          <w:rFonts w:ascii="Roboto" w:hAnsi="Roboto" w:cs="Calibri"/>
          <w:color w:val="404040" w:themeColor="text1" w:themeTint="BF"/>
          <w:sz w:val="21"/>
          <w:szCs w:val="21"/>
          <w:lang w:val="en-GB"/>
        </w:rPr>
        <w:t>. </w:t>
      </w:r>
      <w:r w:rsidR="00FD0667" w:rsidRPr="003C206F">
        <w:rPr>
          <w:rFonts w:ascii="Roboto" w:hAnsi="Roboto" w:cs="Calibri"/>
          <w:color w:val="404040" w:themeColor="text1" w:themeTint="BF"/>
          <w:sz w:val="21"/>
          <w:szCs w:val="21"/>
          <w:lang w:val="en-GB"/>
        </w:rPr>
        <w:t xml:space="preserve">Each of the 193 UN Member States will develop </w:t>
      </w:r>
      <w:r w:rsidR="003A6B35">
        <w:rPr>
          <w:rFonts w:ascii="Roboto" w:hAnsi="Roboto" w:cs="Calibri"/>
          <w:color w:val="404040" w:themeColor="text1" w:themeTint="BF"/>
          <w:sz w:val="21"/>
          <w:szCs w:val="21"/>
          <w:lang w:val="en-GB"/>
        </w:rPr>
        <w:t>its</w:t>
      </w:r>
      <w:r w:rsidR="00FD0667" w:rsidRPr="003C206F">
        <w:rPr>
          <w:rFonts w:ascii="Roboto" w:hAnsi="Roboto" w:cs="Calibri"/>
          <w:color w:val="404040" w:themeColor="text1" w:themeTint="BF"/>
          <w:sz w:val="21"/>
          <w:szCs w:val="21"/>
          <w:lang w:val="en-GB"/>
        </w:rPr>
        <w:t xml:space="preserve"> own path to achieve this</w:t>
      </w:r>
      <w:r w:rsidR="00FD0667">
        <w:rPr>
          <w:rFonts w:ascii="Roboto" w:hAnsi="Roboto" w:cs="Calibri"/>
          <w:color w:val="404040" w:themeColor="text1" w:themeTint="BF"/>
          <w:sz w:val="21"/>
          <w:szCs w:val="21"/>
          <w:lang w:val="en-GB"/>
        </w:rPr>
        <w:t xml:space="preserve"> ambitious agenda.</w:t>
      </w:r>
    </w:p>
    <w:p w14:paraId="2E5D66E9" w14:textId="4A0FD5A9" w:rsidR="004322A6" w:rsidRPr="003C206F" w:rsidRDefault="004322A6" w:rsidP="004322A6">
      <w:pPr>
        <w:pStyle w:val="NormalWeb"/>
        <w:spacing w:before="0" w:beforeAutospacing="0" w:after="20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seeks to benefit all people and commits to ‘Leave No One Behind’ (LNOB)</w:t>
      </w:r>
      <w:r>
        <w:rPr>
          <w:rFonts w:ascii="Roboto" w:hAnsi="Roboto" w:cs="Calibri"/>
          <w:color w:val="404040" w:themeColor="text1" w:themeTint="BF"/>
          <w:sz w:val="21"/>
          <w:szCs w:val="21"/>
          <w:lang w:val="en-GB"/>
        </w:rPr>
        <w:t xml:space="preserve"> and</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support</w:t>
      </w:r>
      <w:r w:rsidRPr="003C206F">
        <w:rPr>
          <w:rFonts w:ascii="Roboto" w:hAnsi="Roboto" w:cs="Calibri"/>
          <w:color w:val="404040" w:themeColor="text1" w:themeTint="BF"/>
          <w:sz w:val="21"/>
          <w:szCs w:val="21"/>
          <w:lang w:val="en-GB"/>
        </w:rPr>
        <w:t xml:space="preserve"> the furthest behind first by reaching out to all people in need, wherever they are, in a manner that targets their specific challenges and vulnerabilities. This generates an unprecedented demand for local and disaggregated data to</w:t>
      </w:r>
      <w:r w:rsidRPr="003C206F">
        <w:rPr>
          <w:rFonts w:ascii="Roboto" w:hAnsi="Roboto"/>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analyse outcomes and track progress.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rests on the interconnected and indivisible nature of its 17 component SDGs. </w:t>
      </w:r>
    </w:p>
    <w:p w14:paraId="5041B9FB" w14:textId="63ECC9FE" w:rsidR="004322A6" w:rsidRPr="003C206F" w:rsidRDefault="004322A6" w:rsidP="004322A6">
      <w:pPr>
        <w:pStyle w:val="NormalWeb"/>
        <w:spacing w:before="0" w:beforeAutospacing="0" w:after="20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At the heart of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are five critical dimensions: People, Planet,</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Prosperity</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Peace, and Partnership, also known as the ‘5Ps’. Traditionally viewed through the lens of three core elements – social inclusion</w:t>
      </w:r>
      <w:r>
        <w:rPr>
          <w:rFonts w:ascii="Roboto" w:hAnsi="Roboto" w:cs="Calibri"/>
          <w:color w:val="404040" w:themeColor="text1" w:themeTint="BF"/>
          <w:sz w:val="21"/>
          <w:szCs w:val="21"/>
          <w:lang w:val="en-GB"/>
        </w:rPr>
        <w:t xml:space="preserve"> (People)</w:t>
      </w:r>
      <w:r w:rsidRPr="003C206F">
        <w:rPr>
          <w:rFonts w:ascii="Roboto" w:hAnsi="Roboto" w:cs="Calibri"/>
          <w:color w:val="404040" w:themeColor="text1" w:themeTint="BF"/>
          <w:sz w:val="21"/>
          <w:szCs w:val="21"/>
          <w:lang w:val="en-GB"/>
        </w:rPr>
        <w:t>, environmental protection</w:t>
      </w:r>
      <w:r>
        <w:rPr>
          <w:rFonts w:ascii="Roboto" w:hAnsi="Roboto" w:cs="Calibri"/>
          <w:color w:val="404040" w:themeColor="text1" w:themeTint="BF"/>
          <w:sz w:val="21"/>
          <w:szCs w:val="21"/>
          <w:lang w:val="en-GB"/>
        </w:rPr>
        <w:t xml:space="preserve"> (Planet), and </w:t>
      </w:r>
      <w:r w:rsidRPr="003C206F">
        <w:rPr>
          <w:rFonts w:ascii="Roboto" w:hAnsi="Roboto" w:cs="Calibri"/>
          <w:color w:val="404040" w:themeColor="text1" w:themeTint="BF"/>
          <w:sz w:val="21"/>
          <w:szCs w:val="21"/>
          <w:lang w:val="en-GB"/>
        </w:rPr>
        <w:t>economic growth</w:t>
      </w:r>
      <w:r>
        <w:rPr>
          <w:rFonts w:ascii="Roboto" w:hAnsi="Roboto" w:cs="Calibri"/>
          <w:color w:val="404040" w:themeColor="text1" w:themeTint="BF"/>
          <w:sz w:val="21"/>
          <w:szCs w:val="21"/>
          <w:lang w:val="en-GB"/>
        </w:rPr>
        <w:t xml:space="preserve"> (Prosperity)</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sustainable development has evolved into a richer concept with the adoption of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which builds upon this traditional approach by adding two critical components: Peace and Partnership. Genuine sustainability sits at the core of these five dimensions.</w:t>
      </w:r>
    </w:p>
    <w:p w14:paraId="0488BB03" w14:textId="26722A34" w:rsidR="004322A6" w:rsidRPr="003C206F" w:rsidRDefault="004322A6" w:rsidP="004322A6">
      <w:pPr>
        <w:pStyle w:val="NormalWeb"/>
        <w:spacing w:before="0" w:beforeAutospacing="0" w:after="20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purpose of this </w:t>
      </w:r>
      <w:r w:rsidR="008F71E3" w:rsidRPr="00645128">
        <w:rPr>
          <w:rFonts w:ascii="Roboto" w:hAnsi="Roboto"/>
          <w:color w:val="404040" w:themeColor="text1" w:themeTint="BF"/>
          <w:sz w:val="21"/>
          <w:szCs w:val="21"/>
          <w:lang w:val="en-GB"/>
        </w:rPr>
        <w:t>UN Sustainable Development Cooperation Framework</w:t>
      </w:r>
      <w:r w:rsidR="008F71E3" w:rsidRPr="003C206F">
        <w:rPr>
          <w:rFonts w:ascii="Roboto" w:hAnsi="Roboto" w:cs="Calibri"/>
          <w:color w:val="404040" w:themeColor="text1" w:themeTint="BF"/>
          <w:sz w:val="21"/>
          <w:szCs w:val="21"/>
          <w:lang w:val="en-GB"/>
        </w:rPr>
        <w:t xml:space="preserve"> </w:t>
      </w:r>
      <w:r w:rsidR="008F71E3">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UNSDCF</w:t>
      </w:r>
      <w:r w:rsidR="008F71E3">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between the UN and the </w:t>
      </w:r>
      <w:r w:rsidR="003745EC">
        <w:rPr>
          <w:rFonts w:ascii="Roboto" w:hAnsi="Roboto" w:cs="Calibri"/>
          <w:color w:val="404040" w:themeColor="text1" w:themeTint="BF"/>
          <w:sz w:val="21"/>
          <w:szCs w:val="21"/>
          <w:lang w:val="en-GB"/>
        </w:rPr>
        <w:t>Kingdom of Saudi Arabia (</w:t>
      </w:r>
      <w:r w:rsidRPr="003C206F">
        <w:rPr>
          <w:rFonts w:ascii="Roboto" w:hAnsi="Roboto" w:cs="Calibri"/>
          <w:color w:val="404040" w:themeColor="text1" w:themeTint="BF"/>
          <w:sz w:val="21"/>
          <w:szCs w:val="21"/>
          <w:lang w:val="en-GB"/>
        </w:rPr>
        <w:t>KSA</w:t>
      </w:r>
      <w:r w:rsidR="003745EC">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is not simply to achieve all 17 SDGs</w:t>
      </w:r>
      <w:r>
        <w:rPr>
          <w:rFonts w:ascii="Roboto" w:hAnsi="Roboto" w:cs="Calibri"/>
          <w:color w:val="404040" w:themeColor="text1" w:themeTint="BF"/>
          <w:sz w:val="21"/>
          <w:szCs w:val="21"/>
          <w:lang w:val="en-GB"/>
        </w:rPr>
        <w:t xml:space="preserve"> individually</w:t>
      </w:r>
      <w:r w:rsidRPr="003C206F">
        <w:rPr>
          <w:rFonts w:ascii="Roboto" w:hAnsi="Roboto" w:cs="Calibri"/>
          <w:color w:val="404040" w:themeColor="text1" w:themeTint="BF"/>
          <w:sz w:val="21"/>
          <w:szCs w:val="21"/>
          <w:lang w:val="en-GB"/>
        </w:rPr>
        <w:t>, nor is it to merely tick off quantitative indicators one by one. Rather, at the heart of this document, and of all contemporary UN-</w:t>
      </w:r>
      <w:r>
        <w:rPr>
          <w:rFonts w:ascii="Roboto" w:hAnsi="Roboto" w:cs="Calibri"/>
          <w:color w:val="404040" w:themeColor="text1" w:themeTint="BF"/>
          <w:sz w:val="21"/>
          <w:szCs w:val="21"/>
          <w:lang w:val="en-GB"/>
        </w:rPr>
        <w:t>supported</w:t>
      </w:r>
      <w:r w:rsidRPr="003C206F">
        <w:rPr>
          <w:rFonts w:ascii="Roboto" w:hAnsi="Roboto" w:cs="Calibri"/>
          <w:color w:val="404040" w:themeColor="text1" w:themeTint="BF"/>
          <w:sz w:val="21"/>
          <w:szCs w:val="21"/>
          <w:lang w:val="en-GB"/>
        </w:rPr>
        <w:t xml:space="preserve"> development efforts, resides a wider, ambitious, and holistic pursuit of the realization of a ‘better and more sustainable future for all</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without leaving anyone behind and reaching the furthest behind first.</w:t>
      </w:r>
      <w:r w:rsidRPr="003C206F">
        <w:rPr>
          <w:rFonts w:ascii="Roboto" w:hAnsi="Roboto"/>
          <w:color w:val="404040" w:themeColor="text1" w:themeTint="BF"/>
          <w:sz w:val="21"/>
          <w:szCs w:val="21"/>
          <w:vertAlign w:val="superscript"/>
          <w:lang w:val="en-GB"/>
        </w:rPr>
        <w:endnoteReference w:id="4"/>
      </w:r>
    </w:p>
    <w:p w14:paraId="0C7B19FD" w14:textId="49AB66B3" w:rsidR="004322A6" w:rsidRPr="003C206F" w:rsidRDefault="004322A6" w:rsidP="004322A6">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KSA </w:t>
      </w:r>
      <w:r>
        <w:rPr>
          <w:rFonts w:ascii="Roboto" w:hAnsi="Roboto" w:cs="Calibri"/>
          <w:color w:val="404040" w:themeColor="text1" w:themeTint="BF"/>
          <w:sz w:val="21"/>
          <w:szCs w:val="21"/>
          <w:lang w:val="en-GB"/>
        </w:rPr>
        <w:t xml:space="preserve">has been making significant achievements towards their </w:t>
      </w:r>
      <w:r w:rsidRPr="003C206F">
        <w:rPr>
          <w:rFonts w:ascii="Roboto" w:hAnsi="Roboto" w:cs="Calibri"/>
          <w:color w:val="404040" w:themeColor="text1" w:themeTint="BF"/>
          <w:sz w:val="21"/>
          <w:szCs w:val="21"/>
          <w:lang w:val="en-GB"/>
        </w:rPr>
        <w:t>Vision 2030</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 which largely harmonizes with the </w:t>
      </w:r>
      <w:r w:rsidRPr="00645128">
        <w:rPr>
          <w:rFonts w:ascii="Roboto" w:hAnsi="Roboto" w:cs="Calibri"/>
          <w:color w:val="404040" w:themeColor="text1" w:themeTint="BF"/>
          <w:sz w:val="21"/>
          <w:szCs w:val="21"/>
          <w:lang w:val="en-GB"/>
        </w:rPr>
        <w:t>UN</w:t>
      </w:r>
      <w:r w:rsidR="002704D0">
        <w:rPr>
          <w:rFonts w:ascii="Roboto" w:hAnsi="Roboto" w:cs="Calibri"/>
          <w:color w:val="404040" w:themeColor="text1" w:themeTint="BF"/>
          <w:sz w:val="21"/>
          <w:szCs w:val="21"/>
          <w:lang w:val="en-GB"/>
        </w:rPr>
        <w:t>’s</w:t>
      </w:r>
      <w:r w:rsidRPr="003C206F">
        <w:rPr>
          <w:rFonts w:ascii="Roboto" w:hAnsi="Roboto" w:cs="Calibri"/>
          <w:color w:val="404040" w:themeColor="text1" w:themeTint="BF"/>
          <w:sz w:val="21"/>
          <w:szCs w:val="21"/>
          <w:lang w:val="en-GB"/>
        </w:rPr>
        <w:t xml:space="preserve"> 2030 Agenda. From 2022 to 2026, the next UNSDCF cycle will build on the significant strides that the KSA has already made in practically all development</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dimensions. For example, the KSA’s commitment to advancing SDGs 5 and 8 can be seen in the case of the Saudi female labour participation rate exceeding 32% as of Q2 2021, up from 17.4% in Q1 2017.</w:t>
      </w:r>
      <w:r w:rsidRPr="003C206F">
        <w:rPr>
          <w:rStyle w:val="EndnoteReference"/>
          <w:rFonts w:ascii="Roboto" w:hAnsi="Roboto" w:cs="Calibri"/>
          <w:color w:val="404040" w:themeColor="text1" w:themeTint="BF"/>
          <w:sz w:val="21"/>
          <w:szCs w:val="21"/>
          <w:lang w:val="en-GB"/>
        </w:rPr>
        <w:endnoteReference w:id="5"/>
      </w:r>
      <w:r w:rsidRPr="003C206F">
        <w:rPr>
          <w:rFonts w:ascii="Roboto" w:hAnsi="Roboto" w:cs="Calibri"/>
          <w:color w:val="404040" w:themeColor="text1" w:themeTint="BF"/>
          <w:sz w:val="21"/>
          <w:szCs w:val="21"/>
          <w:lang w:val="en-GB"/>
        </w:rPr>
        <w:t xml:space="preserve"> Additionally, the KSA has further advanced SDG 8 by passing </w:t>
      </w:r>
      <w:r>
        <w:rPr>
          <w:rFonts w:ascii="Roboto" w:hAnsi="Roboto" w:cs="Calibri"/>
          <w:color w:val="404040" w:themeColor="text1" w:themeTint="BF"/>
          <w:sz w:val="21"/>
          <w:szCs w:val="21"/>
          <w:lang w:val="en-GB"/>
        </w:rPr>
        <w:t>a package of</w:t>
      </w:r>
      <w:r w:rsidRPr="003C206F">
        <w:rPr>
          <w:rFonts w:ascii="Roboto" w:hAnsi="Roboto" w:cs="Calibri"/>
          <w:color w:val="404040" w:themeColor="text1" w:themeTint="BF"/>
          <w:sz w:val="21"/>
          <w:szCs w:val="21"/>
          <w:lang w:val="en-GB"/>
        </w:rPr>
        <w:t xml:space="preserve"> migrant labour reforms that took effect in March 2021.</w:t>
      </w:r>
      <w:r w:rsidRPr="003C206F">
        <w:rPr>
          <w:rStyle w:val="EndnoteReference"/>
          <w:rFonts w:ascii="Roboto" w:hAnsi="Roboto" w:cs="Calibri"/>
          <w:color w:val="404040" w:themeColor="text1" w:themeTint="BF"/>
          <w:sz w:val="21"/>
          <w:szCs w:val="21"/>
          <w:lang w:val="en-GB"/>
        </w:rPr>
        <w:endnoteReference w:id="6"/>
      </w:r>
      <w:r w:rsidRPr="003C206F">
        <w:rPr>
          <w:rFonts w:ascii="Roboto" w:hAnsi="Roboto" w:cs="Calibri"/>
          <w:color w:val="404040" w:themeColor="text1" w:themeTint="BF"/>
          <w:sz w:val="21"/>
          <w:szCs w:val="21"/>
          <w:lang w:val="en-GB"/>
        </w:rPr>
        <w:t xml:space="preserve"> Development achievements like these will only continue to emerge as the KSA moves forward with its Vision 2030 and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The UNSDCF has been designed to support this progress, particularly in terms of the areas with significant potential for further improvement in the KSA: namely, the environmental SDGs (6, 12–15) and the cross-cutting issues of human rights, gender equality, and the empowerment of vulnerable groups. As will be seen (and further described) below, these domains correspond to the UNSDCF’s Strategic Priority Areas 2 and 4.</w:t>
      </w:r>
    </w:p>
    <w:p w14:paraId="69A0C5B7" w14:textId="77777777" w:rsidR="004322A6" w:rsidRPr="003C206F" w:rsidRDefault="004322A6" w:rsidP="004322A6">
      <w:pPr>
        <w:rPr>
          <w:rFonts w:ascii="Roboto" w:hAnsi="Roboto"/>
          <w:b/>
          <w:bCs/>
          <w:color w:val="404040" w:themeColor="text1" w:themeTint="BF"/>
          <w:sz w:val="21"/>
          <w:szCs w:val="21"/>
          <w:lang w:val="en-GB"/>
        </w:rPr>
      </w:pPr>
    </w:p>
    <w:p w14:paraId="57CDF045" w14:textId="77777777" w:rsidR="004322A6" w:rsidRPr="007A55D3" w:rsidRDefault="004322A6" w:rsidP="004322A6">
      <w:pPr>
        <w:jc w:val="both"/>
        <w:rPr>
          <w:rFonts w:ascii="Roboto" w:hAnsi="Roboto"/>
          <w:color w:val="404040" w:themeColor="text1" w:themeTint="BF"/>
          <w:sz w:val="21"/>
          <w:szCs w:val="21"/>
          <w:lang w:val="en-GB"/>
        </w:rPr>
      </w:pPr>
      <w:r w:rsidRPr="007A55D3">
        <w:rPr>
          <w:rFonts w:ascii="Roboto" w:hAnsi="Roboto"/>
          <w:color w:val="404040" w:themeColor="text1" w:themeTint="BF"/>
          <w:sz w:val="21"/>
          <w:szCs w:val="21"/>
          <w:lang w:val="en-GB"/>
        </w:rPr>
        <w:t xml:space="preserve">The Sustainable Development Report (SDR) estimates the achievements of 165 countries in their pursuit of the 17 SDGs and ranks them based on a composite score. The SDR tracks 231 SDG indicators with additional proxies and, from that data, specifies whether a given indicator and SDG is on-track in each country while estimating the level of challenges that remain. Of the 231 indicators tracked by the SDR, 92 are measured in the KSA. Figure 1.1 below provides a snapshot of how the KSA is progressing in its pursuit of the SDGs through the lens of the SDR in 2021. </w:t>
      </w:r>
    </w:p>
    <w:p w14:paraId="12876B66" w14:textId="77777777" w:rsidR="004322A6" w:rsidRPr="007A55D3" w:rsidRDefault="004322A6" w:rsidP="004322A6">
      <w:pPr>
        <w:jc w:val="both"/>
        <w:rPr>
          <w:rFonts w:ascii="Roboto" w:hAnsi="Roboto"/>
          <w:color w:val="404040" w:themeColor="text1" w:themeTint="BF"/>
          <w:sz w:val="21"/>
          <w:szCs w:val="21"/>
          <w:lang w:val="en-GB"/>
        </w:rPr>
      </w:pPr>
    </w:p>
    <w:p w14:paraId="5264CC49" w14:textId="378F61D7" w:rsidR="00871C7A" w:rsidRDefault="004322A6" w:rsidP="004322A6">
      <w:pPr>
        <w:jc w:val="both"/>
        <w:rPr>
          <w:rFonts w:ascii="Roboto" w:hAnsi="Roboto"/>
          <w:color w:val="404040" w:themeColor="text1" w:themeTint="BF"/>
          <w:sz w:val="21"/>
          <w:szCs w:val="21"/>
          <w:lang w:val="en-GB"/>
        </w:rPr>
      </w:pPr>
      <w:r w:rsidRPr="007A55D3">
        <w:rPr>
          <w:rFonts w:ascii="Roboto" w:hAnsi="Roboto"/>
          <w:color w:val="404040" w:themeColor="text1" w:themeTint="BF"/>
          <w:sz w:val="21"/>
          <w:szCs w:val="21"/>
          <w:lang w:val="en-GB"/>
        </w:rPr>
        <w:t xml:space="preserve">Henceforth, SDG indicators and additional proxies used by the </w:t>
      </w:r>
      <w:r w:rsidR="000D0774">
        <w:rPr>
          <w:rFonts w:ascii="Roboto" w:hAnsi="Roboto"/>
          <w:color w:val="404040" w:themeColor="text1" w:themeTint="BF"/>
          <w:sz w:val="21"/>
          <w:szCs w:val="21"/>
          <w:lang w:val="en-GB"/>
        </w:rPr>
        <w:t>Sustainable Development Report</w:t>
      </w:r>
      <w:r w:rsidR="000D0774" w:rsidRPr="007A55D3">
        <w:rPr>
          <w:rFonts w:ascii="Roboto" w:hAnsi="Roboto"/>
          <w:color w:val="404040" w:themeColor="text1" w:themeTint="BF"/>
          <w:sz w:val="21"/>
          <w:szCs w:val="21"/>
          <w:lang w:val="en-GB"/>
        </w:rPr>
        <w:t xml:space="preserve"> </w:t>
      </w:r>
      <w:r w:rsidR="000D0774">
        <w:rPr>
          <w:rFonts w:ascii="Roboto" w:hAnsi="Roboto"/>
          <w:color w:val="404040" w:themeColor="text1" w:themeTint="BF"/>
          <w:sz w:val="21"/>
          <w:szCs w:val="21"/>
          <w:lang w:val="en-GB"/>
        </w:rPr>
        <w:t>(</w:t>
      </w:r>
      <w:r w:rsidRPr="007A55D3">
        <w:rPr>
          <w:rFonts w:ascii="Roboto" w:hAnsi="Roboto"/>
          <w:color w:val="404040" w:themeColor="text1" w:themeTint="BF"/>
          <w:sz w:val="21"/>
          <w:szCs w:val="21"/>
          <w:lang w:val="en-GB"/>
        </w:rPr>
        <w:t>SDR</w:t>
      </w:r>
      <w:r w:rsidR="000D0774">
        <w:rPr>
          <w:rFonts w:ascii="Roboto" w:hAnsi="Roboto"/>
          <w:color w:val="404040" w:themeColor="text1" w:themeTint="BF"/>
          <w:sz w:val="21"/>
          <w:szCs w:val="21"/>
          <w:lang w:val="en-GB"/>
        </w:rPr>
        <w:t>)</w:t>
      </w:r>
      <w:r w:rsidRPr="007A55D3">
        <w:rPr>
          <w:rFonts w:ascii="Roboto" w:hAnsi="Roboto"/>
          <w:color w:val="404040" w:themeColor="text1" w:themeTint="BF"/>
          <w:sz w:val="21"/>
          <w:szCs w:val="21"/>
          <w:lang w:val="en-GB"/>
        </w:rPr>
        <w:t xml:space="preserve"> will be referred to as SDG/SDR indicators. Figure 1.1 divides the 17 SDGs into the four Strategic Priority Areas of the UNSDCF</w:t>
      </w:r>
      <w:r>
        <w:rPr>
          <w:rFonts w:ascii="Roboto" w:hAnsi="Roboto"/>
          <w:color w:val="404040" w:themeColor="text1" w:themeTint="BF"/>
          <w:sz w:val="21"/>
          <w:szCs w:val="21"/>
          <w:lang w:val="en-GB"/>
        </w:rPr>
        <w:t xml:space="preserve">, which are </w:t>
      </w:r>
      <w:r w:rsidRPr="007A55D3">
        <w:rPr>
          <w:rFonts w:ascii="Roboto" w:hAnsi="Roboto"/>
          <w:color w:val="404040" w:themeColor="text1" w:themeTint="BF"/>
          <w:sz w:val="21"/>
          <w:szCs w:val="21"/>
          <w:lang w:val="en-GB"/>
        </w:rPr>
        <w:t>colour-coded</w:t>
      </w:r>
      <w:r>
        <w:rPr>
          <w:rFonts w:ascii="Roboto" w:hAnsi="Roboto"/>
          <w:color w:val="404040" w:themeColor="text1" w:themeTint="BF"/>
          <w:sz w:val="21"/>
          <w:szCs w:val="21"/>
          <w:lang w:val="en-GB"/>
        </w:rPr>
        <w:t xml:space="preserve"> in</w:t>
      </w:r>
      <w:r w:rsidRPr="007A55D3">
        <w:rPr>
          <w:rFonts w:ascii="Roboto" w:hAnsi="Roboto"/>
          <w:color w:val="404040" w:themeColor="text1" w:themeTint="BF"/>
          <w:sz w:val="21"/>
          <w:szCs w:val="21"/>
          <w:lang w:val="en-GB"/>
        </w:rPr>
        <w:t xml:space="preserve"> boxes 1</w:t>
      </w:r>
      <w:r>
        <w:rPr>
          <w:rFonts w:ascii="Roboto" w:hAnsi="Roboto"/>
          <w:color w:val="404040" w:themeColor="text1" w:themeTint="BF"/>
          <w:sz w:val="21"/>
          <w:szCs w:val="21"/>
          <w:lang w:val="en-GB"/>
        </w:rPr>
        <w:t xml:space="preserve"> through </w:t>
      </w:r>
      <w:r w:rsidRPr="007A55D3">
        <w:rPr>
          <w:rFonts w:ascii="Roboto" w:hAnsi="Roboto"/>
          <w:color w:val="404040" w:themeColor="text1" w:themeTint="BF"/>
          <w:sz w:val="21"/>
          <w:szCs w:val="21"/>
          <w:lang w:val="en-GB"/>
        </w:rPr>
        <w:t xml:space="preserve">4 (used throughout the UNSDCF) </w:t>
      </w:r>
      <w:r>
        <w:rPr>
          <w:rFonts w:ascii="Roboto" w:hAnsi="Roboto"/>
          <w:color w:val="404040" w:themeColor="text1" w:themeTint="BF"/>
          <w:sz w:val="21"/>
          <w:szCs w:val="21"/>
          <w:lang w:val="en-GB"/>
        </w:rPr>
        <w:t>and</w:t>
      </w:r>
      <w:r w:rsidRPr="007A55D3">
        <w:rPr>
          <w:rFonts w:ascii="Roboto" w:hAnsi="Roboto"/>
          <w:color w:val="404040" w:themeColor="text1" w:themeTint="BF"/>
          <w:sz w:val="21"/>
          <w:szCs w:val="21"/>
          <w:lang w:val="en-GB"/>
        </w:rPr>
        <w:t xml:space="preserve"> are elaborated below in Chapter 2.2.</w:t>
      </w:r>
      <w:r w:rsidR="00871C7A" w:rsidRPr="003C206F">
        <w:rPr>
          <w:rFonts w:ascii="Roboto" w:hAnsi="Roboto"/>
          <w:color w:val="404040" w:themeColor="text1" w:themeTint="BF"/>
          <w:sz w:val="21"/>
          <w:szCs w:val="21"/>
          <w:lang w:val="en-GB"/>
        </w:rPr>
        <w:t xml:space="preserve"> </w:t>
      </w:r>
    </w:p>
    <w:p w14:paraId="233D8E4D" w14:textId="77777777" w:rsidR="005F6DE7" w:rsidRPr="006F4106" w:rsidRDefault="005F6DE7" w:rsidP="006F4106">
      <w:pPr>
        <w:jc w:val="both"/>
        <w:rPr>
          <w:rFonts w:ascii="Roboto" w:hAnsi="Roboto"/>
          <w:color w:val="404040" w:themeColor="text1" w:themeTint="BF"/>
          <w:sz w:val="21"/>
          <w:szCs w:val="21"/>
          <w:lang w:val="en-GB"/>
        </w:rPr>
      </w:pPr>
    </w:p>
    <w:p w14:paraId="396F3C74" w14:textId="77777777" w:rsidR="004322A6" w:rsidRDefault="004322A6" w:rsidP="00C17E8E">
      <w:pPr>
        <w:rPr>
          <w:rFonts w:ascii="Roboto" w:hAnsi="Roboto"/>
          <w:b/>
          <w:color w:val="404040" w:themeColor="text1" w:themeTint="BF"/>
          <w:sz w:val="21"/>
          <w:szCs w:val="21"/>
          <w:lang w:val="en-GB"/>
        </w:rPr>
      </w:pPr>
    </w:p>
    <w:p w14:paraId="08F5D40B" w14:textId="252AEC05" w:rsidR="00871C7A" w:rsidRPr="003C206F" w:rsidRDefault="00871C7A" w:rsidP="00C17E8E">
      <w:pPr>
        <w:rPr>
          <w:rFonts w:ascii="Roboto" w:hAnsi="Roboto"/>
          <w:b/>
          <w:color w:val="404040" w:themeColor="text1" w:themeTint="BF"/>
          <w:sz w:val="21"/>
          <w:szCs w:val="21"/>
          <w:lang w:val="en-GB"/>
        </w:rPr>
      </w:pPr>
      <w:r w:rsidRPr="003C206F">
        <w:rPr>
          <w:rFonts w:ascii="Roboto" w:hAnsi="Roboto"/>
          <w:b/>
          <w:color w:val="404040" w:themeColor="text1" w:themeTint="BF"/>
          <w:sz w:val="21"/>
          <w:szCs w:val="21"/>
          <w:lang w:val="en-GB"/>
        </w:rPr>
        <w:t>Figure 1.1 Sustainable Development Report 2021: KSA SDG Snapshot</w:t>
      </w:r>
      <w:r w:rsidRPr="003C206F">
        <w:rPr>
          <w:rFonts w:ascii="Roboto" w:hAnsi="Roboto"/>
          <w:b/>
          <w:color w:val="404040" w:themeColor="text1" w:themeTint="BF"/>
          <w:sz w:val="21"/>
          <w:szCs w:val="21"/>
          <w:vertAlign w:val="superscript"/>
          <w:lang w:val="en-GB"/>
        </w:rPr>
        <w:endnoteReference w:id="7"/>
      </w:r>
    </w:p>
    <w:p w14:paraId="0C3443F6" w14:textId="77777777" w:rsidR="00871C7A" w:rsidRPr="003C206F" w:rsidRDefault="00871C7A" w:rsidP="00C17E8E">
      <w:pPr>
        <w:rPr>
          <w:rFonts w:ascii="Roboto" w:hAnsi="Roboto"/>
          <w:b/>
          <w:bCs/>
          <w:color w:val="404040" w:themeColor="text1" w:themeTint="BF"/>
          <w:sz w:val="21"/>
          <w:szCs w:val="21"/>
          <w:lang w:val="en-GB"/>
        </w:rPr>
      </w:pPr>
    </w:p>
    <w:p w14:paraId="59D455C1" w14:textId="70FFF2B3" w:rsidR="00871C7A" w:rsidRPr="003C206F" w:rsidRDefault="00871C7A" w:rsidP="00C17E8E">
      <w:pPr>
        <w:jc w:val="center"/>
        <w:rPr>
          <w:rFonts w:ascii="Roboto" w:hAnsi="Roboto"/>
          <w:b/>
          <w:bCs/>
          <w:color w:val="404040" w:themeColor="text1" w:themeTint="BF"/>
          <w:lang w:val="en-GB"/>
        </w:rPr>
      </w:pPr>
      <w:r w:rsidRPr="003C206F">
        <w:rPr>
          <w:rFonts w:ascii="Roboto" w:hAnsi="Roboto"/>
          <w:b/>
          <w:noProof/>
          <w:color w:val="404040" w:themeColor="text1" w:themeTint="BF"/>
          <w:lang w:val="en-GB"/>
        </w:rPr>
        <w:drawing>
          <wp:inline distT="0" distB="0" distL="0" distR="0" wp14:anchorId="339A7FE1" wp14:editId="609E73A5">
            <wp:extent cx="3657103" cy="2102372"/>
            <wp:effectExtent l="0" t="0" r="635" b="6350"/>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2174"/>
                    <a:stretch/>
                  </pic:blipFill>
                  <pic:spPr bwMode="auto">
                    <a:xfrm>
                      <a:off x="0" y="0"/>
                      <a:ext cx="3661275" cy="2104771"/>
                    </a:xfrm>
                    <a:prstGeom prst="rect">
                      <a:avLst/>
                    </a:prstGeom>
                    <a:ln>
                      <a:noFill/>
                    </a:ln>
                    <a:extLst>
                      <a:ext uri="{53640926-AAD7-44D8-BBD7-CCE9431645EC}">
                        <a14:shadowObscured xmlns:a14="http://schemas.microsoft.com/office/drawing/2010/main"/>
                      </a:ext>
                    </a:extLst>
                  </pic:spPr>
                </pic:pic>
              </a:graphicData>
            </a:graphic>
          </wp:inline>
        </w:drawing>
      </w:r>
      <w:r w:rsidRPr="003C206F">
        <w:rPr>
          <w:rFonts w:ascii="Roboto" w:hAnsi="Roboto"/>
          <w:b/>
          <w:noProof/>
          <w:color w:val="404040" w:themeColor="text1" w:themeTint="BF"/>
          <w:sz w:val="16"/>
          <w:szCs w:val="16"/>
          <w:lang w:val="en-GB"/>
        </w:rPr>
        <w:drawing>
          <wp:inline distT="0" distB="0" distL="0" distR="0" wp14:anchorId="276D1574" wp14:editId="0FA4C837">
            <wp:extent cx="2042599" cy="2103120"/>
            <wp:effectExtent l="0" t="0" r="2540" b="5080"/>
            <wp:docPr id="82" name="Picture 8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sunburst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2599" cy="2103120"/>
                    </a:xfrm>
                    <a:prstGeom prst="rect">
                      <a:avLst/>
                    </a:prstGeom>
                  </pic:spPr>
                </pic:pic>
              </a:graphicData>
            </a:graphic>
          </wp:inline>
        </w:drawing>
      </w:r>
    </w:p>
    <w:p w14:paraId="2E70A2AA" w14:textId="602CCDE4" w:rsidR="00871C7A" w:rsidRPr="003C206F" w:rsidRDefault="00871C7A" w:rsidP="00C17E8E">
      <w:pPr>
        <w:rPr>
          <w:rFonts w:ascii="Roboto" w:hAnsi="Roboto"/>
          <w:b/>
          <w:bCs/>
          <w:color w:val="404040" w:themeColor="text1" w:themeTint="BF"/>
          <w:lang w:val="en-GB"/>
        </w:rPr>
      </w:pPr>
      <w:r w:rsidRPr="003C206F">
        <w:rPr>
          <w:rFonts w:ascii="Roboto" w:hAnsi="Roboto"/>
          <w:b/>
          <w:bCs/>
          <w:noProof/>
          <w:color w:val="404040" w:themeColor="text1" w:themeTint="BF"/>
          <w:lang w:val="en-GB"/>
        </w:rPr>
        <w:drawing>
          <wp:inline distT="0" distB="0" distL="0" distR="0" wp14:anchorId="4C55B63C" wp14:editId="0F3D0706">
            <wp:extent cx="5724144" cy="478382"/>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rotWithShape="1">
                    <a:blip r:embed="rId20" cstate="print">
                      <a:extLst>
                        <a:ext uri="{28A0092B-C50C-407E-A947-70E740481C1C}">
                          <a14:useLocalDpi xmlns:a14="http://schemas.microsoft.com/office/drawing/2010/main" val="0"/>
                        </a:ext>
                      </a:extLst>
                    </a:blip>
                    <a:srcRect l="573"/>
                    <a:stretch/>
                  </pic:blipFill>
                  <pic:spPr bwMode="auto">
                    <a:xfrm>
                      <a:off x="0" y="0"/>
                      <a:ext cx="5724144" cy="478382"/>
                    </a:xfrm>
                    <a:prstGeom prst="rect">
                      <a:avLst/>
                    </a:prstGeom>
                    <a:ln>
                      <a:noFill/>
                    </a:ln>
                    <a:extLst>
                      <a:ext uri="{53640926-AAD7-44D8-BBD7-CCE9431645EC}">
                        <a14:shadowObscured xmlns:a14="http://schemas.microsoft.com/office/drawing/2010/main"/>
                      </a:ext>
                    </a:extLst>
                  </pic:spPr>
                </pic:pic>
              </a:graphicData>
            </a:graphic>
          </wp:inline>
        </w:drawing>
      </w:r>
    </w:p>
    <w:p w14:paraId="1E198BCA" w14:textId="77777777" w:rsidR="00871C7A" w:rsidRPr="003C206F" w:rsidRDefault="00871C7A" w:rsidP="00C17E8E">
      <w:pPr>
        <w:rPr>
          <w:rFonts w:ascii="Roboto" w:hAnsi="Roboto"/>
          <w:b/>
          <w:bCs/>
          <w:color w:val="404040" w:themeColor="text1" w:themeTint="BF"/>
          <w:sz w:val="8"/>
          <w:szCs w:val="8"/>
          <w:lang w:val="en-GB"/>
        </w:rPr>
      </w:pPr>
    </w:p>
    <w:tbl>
      <w:tblPr>
        <w:tblStyle w:val="TableGrid"/>
        <w:tblW w:w="4967" w:type="pct"/>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68"/>
        <w:gridCol w:w="8498"/>
      </w:tblGrid>
      <w:tr w:rsidR="00871C7A" w:rsidRPr="003C206F" w14:paraId="7EF08CBD" w14:textId="77777777" w:rsidTr="00543DE2">
        <w:trPr>
          <w:trHeight w:val="994"/>
        </w:trPr>
        <w:tc>
          <w:tcPr>
            <w:tcW w:w="202" w:type="pct"/>
            <w:shd w:val="clear" w:color="auto" w:fill="26BDE2"/>
            <w:vAlign w:val="center"/>
          </w:tcPr>
          <w:p w14:paraId="6C45DD4A" w14:textId="66D997DE" w:rsidR="00871C7A" w:rsidRPr="003C206F" w:rsidRDefault="00871C7A" w:rsidP="00CA7B8C">
            <w:pPr>
              <w:rPr>
                <w:rFonts w:ascii="Roboto" w:hAnsi="Roboto"/>
                <w:b/>
                <w:color w:val="404040" w:themeColor="text1" w:themeTint="BF"/>
                <w:sz w:val="44"/>
                <w:szCs w:val="44"/>
                <w:lang w:val="en-GB"/>
              </w:rPr>
            </w:pPr>
            <w:r w:rsidRPr="007B461B">
              <w:rPr>
                <w:rFonts w:ascii="Roboto" w:hAnsi="Roboto"/>
                <w:b/>
                <w:color w:val="FFFFFF" w:themeColor="background1"/>
                <w:sz w:val="44"/>
                <w:szCs w:val="44"/>
                <w:lang w:val="en-GB"/>
              </w:rPr>
              <w:t>1</w:t>
            </w:r>
          </w:p>
        </w:tc>
        <w:tc>
          <w:tcPr>
            <w:tcW w:w="4798" w:type="pct"/>
          </w:tcPr>
          <w:p w14:paraId="4F475765" w14:textId="66B737DF" w:rsidR="00871C7A" w:rsidRPr="003C206F" w:rsidRDefault="00871C7A" w:rsidP="0034578E">
            <w:pPr>
              <w:jc w:val="center"/>
              <w:rPr>
                <w:rFonts w:ascii="Roboto" w:hAnsi="Roboto"/>
                <w:b/>
                <w:bCs/>
                <w:color w:val="404040" w:themeColor="text1" w:themeTint="BF"/>
                <w:lang w:val="en-GB"/>
              </w:rPr>
            </w:pPr>
            <w:r w:rsidRPr="003C206F">
              <w:rPr>
                <w:rFonts w:ascii="Roboto" w:hAnsi="Roboto"/>
                <w:b/>
                <w:bCs/>
                <w:noProof/>
                <w:color w:val="404040" w:themeColor="text1" w:themeTint="BF"/>
                <w:lang w:val="en-GB"/>
              </w:rPr>
              <w:drawing>
                <wp:inline distT="0" distB="0" distL="0" distR="0" wp14:anchorId="31EAD3C6" wp14:editId="1977665C">
                  <wp:extent cx="5283747" cy="680357"/>
                  <wp:effectExtent l="0" t="0" r="0" b="5715"/>
                  <wp:docPr id="118" name="Picture 1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5719" cy="743705"/>
                          </a:xfrm>
                          <a:prstGeom prst="rect">
                            <a:avLst/>
                          </a:prstGeom>
                        </pic:spPr>
                      </pic:pic>
                    </a:graphicData>
                  </a:graphic>
                </wp:inline>
              </w:drawing>
            </w:r>
          </w:p>
        </w:tc>
      </w:tr>
    </w:tbl>
    <w:p w14:paraId="24811D88" w14:textId="77777777" w:rsidR="00871C7A" w:rsidRPr="003C206F" w:rsidRDefault="00871C7A" w:rsidP="00C17E8E">
      <w:pPr>
        <w:rPr>
          <w:rFonts w:ascii="Roboto" w:hAnsi="Roboto"/>
          <w:b/>
          <w:color w:val="404040" w:themeColor="text1" w:themeTint="BF"/>
          <w:sz w:val="10"/>
          <w:szCs w:val="10"/>
          <w:lang w:val="en-GB"/>
        </w:rPr>
      </w:pPr>
    </w:p>
    <w:tbl>
      <w:tblPr>
        <w:tblStyle w:val="TableGrid"/>
        <w:tblW w:w="8971" w:type="dxa"/>
        <w:tblBorders>
          <w:top w:val="single" w:sz="24" w:space="0" w:color="FF3A21"/>
          <w:left w:val="single" w:sz="24" w:space="0" w:color="FF3A21"/>
          <w:bottom w:val="single" w:sz="24" w:space="0" w:color="FF3A21"/>
          <w:right w:val="single" w:sz="24" w:space="0" w:color="FF3A21"/>
          <w:insideH w:val="single" w:sz="24" w:space="0" w:color="FF3A21"/>
          <w:insideV w:val="single" w:sz="24" w:space="0" w:color="FF3A21"/>
        </w:tblBorders>
        <w:tblLayout w:type="fixed"/>
        <w:tblLook w:val="04A0" w:firstRow="1" w:lastRow="0" w:firstColumn="1" w:lastColumn="0" w:noHBand="0" w:noVBand="1"/>
      </w:tblPr>
      <w:tblGrid>
        <w:gridCol w:w="475"/>
        <w:gridCol w:w="8496"/>
      </w:tblGrid>
      <w:tr w:rsidR="00871C7A" w:rsidRPr="003C206F" w14:paraId="1A008E20" w14:textId="77777777" w:rsidTr="00543DE2">
        <w:trPr>
          <w:trHeight w:val="994"/>
        </w:trPr>
        <w:tc>
          <w:tcPr>
            <w:tcW w:w="475" w:type="dxa"/>
            <w:shd w:val="clear" w:color="auto" w:fill="FF3A21"/>
            <w:vAlign w:val="center"/>
          </w:tcPr>
          <w:p w14:paraId="3C9E4D52" w14:textId="1EC81A75" w:rsidR="00871C7A" w:rsidRPr="003C206F" w:rsidRDefault="00871C7A" w:rsidP="00F42217">
            <w:pPr>
              <w:rPr>
                <w:rFonts w:ascii="Roboto" w:hAnsi="Roboto"/>
                <w:b/>
                <w:color w:val="404040" w:themeColor="text1" w:themeTint="BF"/>
                <w:sz w:val="44"/>
                <w:szCs w:val="44"/>
                <w:lang w:val="en-GB"/>
              </w:rPr>
            </w:pPr>
            <w:r w:rsidRPr="007B461B">
              <w:rPr>
                <w:rFonts w:ascii="Roboto" w:hAnsi="Roboto"/>
                <w:b/>
                <w:color w:val="FFFFFF" w:themeColor="background1"/>
                <w:sz w:val="44"/>
                <w:szCs w:val="44"/>
                <w:lang w:val="en-GB"/>
              </w:rPr>
              <w:t>2</w:t>
            </w:r>
          </w:p>
        </w:tc>
        <w:tc>
          <w:tcPr>
            <w:tcW w:w="8496" w:type="dxa"/>
            <w:vAlign w:val="center"/>
          </w:tcPr>
          <w:p w14:paraId="200925EC" w14:textId="35EA1BA8" w:rsidR="00871C7A" w:rsidRPr="003C206F" w:rsidRDefault="00871C7A" w:rsidP="002977C0">
            <w:pPr>
              <w:jc w:val="center"/>
              <w:rPr>
                <w:rFonts w:ascii="Roboto" w:hAnsi="Roboto"/>
                <w:b/>
                <w:bCs/>
                <w:color w:val="404040" w:themeColor="text1" w:themeTint="BF"/>
                <w:lang w:val="en-GB"/>
              </w:rPr>
            </w:pPr>
            <w:r w:rsidRPr="003C206F">
              <w:rPr>
                <w:rFonts w:ascii="Roboto" w:hAnsi="Roboto"/>
                <w:b/>
                <w:bCs/>
                <w:noProof/>
                <w:color w:val="404040" w:themeColor="text1" w:themeTint="BF"/>
                <w:lang w:val="en-GB"/>
              </w:rPr>
              <w:drawing>
                <wp:inline distT="0" distB="0" distL="0" distR="0" wp14:anchorId="2F916E0A" wp14:editId="137CBE13">
                  <wp:extent cx="5283740" cy="680357"/>
                  <wp:effectExtent l="0" t="0" r="0" b="5715"/>
                  <wp:docPr id="119" name="Picture 1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4567" cy="685614"/>
                          </a:xfrm>
                          <a:prstGeom prst="rect">
                            <a:avLst/>
                          </a:prstGeom>
                        </pic:spPr>
                      </pic:pic>
                    </a:graphicData>
                  </a:graphic>
                </wp:inline>
              </w:drawing>
            </w:r>
          </w:p>
        </w:tc>
      </w:tr>
    </w:tbl>
    <w:p w14:paraId="0265CED2" w14:textId="77777777" w:rsidR="00871C7A" w:rsidRPr="003C206F" w:rsidRDefault="00871C7A" w:rsidP="00C17E8E">
      <w:pPr>
        <w:rPr>
          <w:rFonts w:ascii="Roboto" w:hAnsi="Roboto"/>
          <w:b/>
          <w:color w:val="404040" w:themeColor="text1" w:themeTint="BF"/>
          <w:sz w:val="10"/>
          <w:szCs w:val="10"/>
          <w:lang w:val="en-GB"/>
        </w:rPr>
      </w:pPr>
    </w:p>
    <w:tbl>
      <w:tblPr>
        <w:tblStyle w:val="TableGrid"/>
        <w:tblW w:w="8971" w:type="dxa"/>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ayout w:type="fixed"/>
        <w:tblLook w:val="04A0" w:firstRow="1" w:lastRow="0" w:firstColumn="1" w:lastColumn="0" w:noHBand="0" w:noVBand="1"/>
      </w:tblPr>
      <w:tblGrid>
        <w:gridCol w:w="475"/>
        <w:gridCol w:w="8496"/>
      </w:tblGrid>
      <w:tr w:rsidR="00871C7A" w:rsidRPr="003C206F" w14:paraId="193DB11E" w14:textId="77777777" w:rsidTr="00543DE2">
        <w:trPr>
          <w:trHeight w:val="994"/>
        </w:trPr>
        <w:tc>
          <w:tcPr>
            <w:tcW w:w="475" w:type="dxa"/>
            <w:shd w:val="clear" w:color="auto" w:fill="4C9F38"/>
            <w:vAlign w:val="center"/>
          </w:tcPr>
          <w:p w14:paraId="599BB3AD" w14:textId="7723A8F4" w:rsidR="00871C7A" w:rsidRPr="007B461B" w:rsidRDefault="00871C7A" w:rsidP="00F42217">
            <w:pPr>
              <w:rPr>
                <w:rFonts w:ascii="Roboto" w:hAnsi="Roboto"/>
                <w:b/>
                <w:color w:val="FFFFFF" w:themeColor="background1"/>
                <w:sz w:val="44"/>
                <w:szCs w:val="44"/>
                <w:lang w:val="en-GB"/>
              </w:rPr>
            </w:pPr>
            <w:r w:rsidRPr="007B461B">
              <w:rPr>
                <w:rFonts w:ascii="Roboto" w:hAnsi="Roboto"/>
                <w:b/>
                <w:color w:val="FFFFFF" w:themeColor="background1"/>
                <w:sz w:val="44"/>
                <w:szCs w:val="44"/>
                <w:lang w:val="en-GB"/>
              </w:rPr>
              <w:t>3</w:t>
            </w:r>
          </w:p>
        </w:tc>
        <w:tc>
          <w:tcPr>
            <w:tcW w:w="8496" w:type="dxa"/>
            <w:vAlign w:val="center"/>
          </w:tcPr>
          <w:p w14:paraId="4548E9CA" w14:textId="5F7382B2" w:rsidR="00871C7A" w:rsidRPr="003C206F" w:rsidRDefault="00871C7A" w:rsidP="002977C0">
            <w:pPr>
              <w:jc w:val="center"/>
              <w:rPr>
                <w:rFonts w:ascii="Roboto" w:hAnsi="Roboto"/>
                <w:b/>
                <w:bCs/>
                <w:color w:val="404040" w:themeColor="text1" w:themeTint="BF"/>
                <w:lang w:val="en-GB"/>
              </w:rPr>
            </w:pPr>
            <w:r w:rsidRPr="003C206F">
              <w:rPr>
                <w:rFonts w:ascii="Roboto" w:hAnsi="Roboto"/>
                <w:b/>
                <w:bCs/>
                <w:noProof/>
                <w:color w:val="404040" w:themeColor="text1" w:themeTint="BF"/>
                <w:lang w:val="en-GB"/>
              </w:rPr>
              <w:drawing>
                <wp:inline distT="0" distB="0" distL="0" distR="0" wp14:anchorId="7AD729BD" wp14:editId="7ED28956">
                  <wp:extent cx="5285232" cy="688097"/>
                  <wp:effectExtent l="0" t="0" r="0" b="0"/>
                  <wp:docPr id="120" name="Picture 1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5232" cy="688097"/>
                          </a:xfrm>
                          <a:prstGeom prst="rect">
                            <a:avLst/>
                          </a:prstGeom>
                        </pic:spPr>
                      </pic:pic>
                    </a:graphicData>
                  </a:graphic>
                </wp:inline>
              </w:drawing>
            </w:r>
          </w:p>
        </w:tc>
      </w:tr>
    </w:tbl>
    <w:p w14:paraId="665E59DF" w14:textId="7CC26537" w:rsidR="00871C7A" w:rsidRPr="003C206F" w:rsidRDefault="00871C7A" w:rsidP="0097560C">
      <w:pPr>
        <w:rPr>
          <w:rFonts w:ascii="Roboto" w:hAnsi="Roboto"/>
          <w:b/>
          <w:color w:val="404040" w:themeColor="text1" w:themeTint="BF"/>
          <w:sz w:val="10"/>
          <w:szCs w:val="10"/>
          <w:lang w:val="en-GB"/>
        </w:rPr>
      </w:pPr>
    </w:p>
    <w:tbl>
      <w:tblPr>
        <w:tblStyle w:val="TableGrid"/>
        <w:tblW w:w="0" w:type="auto"/>
        <w:tblLook w:val="04A0" w:firstRow="1" w:lastRow="0" w:firstColumn="1" w:lastColumn="0" w:noHBand="0" w:noVBand="1"/>
      </w:tblPr>
      <w:tblGrid>
        <w:gridCol w:w="475"/>
        <w:gridCol w:w="3456"/>
      </w:tblGrid>
      <w:tr w:rsidR="00871C7A" w:rsidRPr="003C206F" w14:paraId="3C399515" w14:textId="77777777" w:rsidTr="00251092">
        <w:trPr>
          <w:trHeight w:val="994"/>
        </w:trPr>
        <w:tc>
          <w:tcPr>
            <w:tcW w:w="475"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305021E7" w14:textId="2152050D" w:rsidR="00871C7A" w:rsidRPr="003C206F" w:rsidRDefault="00871C7A" w:rsidP="008D2AD3">
            <w:pPr>
              <w:jc w:val="center"/>
              <w:rPr>
                <w:rFonts w:ascii="Roboto" w:hAnsi="Roboto"/>
                <w:b/>
                <w:color w:val="404040" w:themeColor="text1" w:themeTint="BF"/>
                <w:sz w:val="44"/>
                <w:szCs w:val="44"/>
                <w:lang w:val="en-GB"/>
              </w:rPr>
            </w:pPr>
            <w:r w:rsidRPr="007B461B">
              <w:rPr>
                <w:rFonts w:ascii="Roboto" w:hAnsi="Roboto"/>
                <w:b/>
                <w:color w:val="FFFFFF" w:themeColor="background1"/>
                <w:sz w:val="44"/>
                <w:szCs w:val="44"/>
                <w:lang w:val="en-GB"/>
              </w:rPr>
              <w:t>4</w:t>
            </w:r>
          </w:p>
        </w:tc>
        <w:tc>
          <w:tcPr>
            <w:tcW w:w="3456" w:type="dxa"/>
            <w:tcBorders>
              <w:top w:val="single" w:sz="24" w:space="0" w:color="FCC30B"/>
              <w:left w:val="single" w:sz="24" w:space="0" w:color="FCC30B"/>
              <w:bottom w:val="single" w:sz="24" w:space="0" w:color="FCC30B"/>
              <w:right w:val="single" w:sz="24" w:space="0" w:color="FCC30B"/>
            </w:tcBorders>
          </w:tcPr>
          <w:p w14:paraId="0D316D45" w14:textId="44613EB2" w:rsidR="00871C7A" w:rsidRPr="003C206F" w:rsidRDefault="00871C7A" w:rsidP="00C17E8E">
            <w:pPr>
              <w:jc w:val="both"/>
              <w:rPr>
                <w:rFonts w:ascii="Roboto" w:hAnsi="Roboto"/>
                <w:color w:val="404040" w:themeColor="text1" w:themeTint="BF"/>
                <w:sz w:val="21"/>
                <w:szCs w:val="21"/>
                <w:lang w:val="en-GB"/>
              </w:rPr>
            </w:pPr>
            <w:r w:rsidRPr="003C206F">
              <w:rPr>
                <w:rFonts w:ascii="Roboto" w:hAnsi="Roboto"/>
                <w:noProof/>
                <w:color w:val="404040" w:themeColor="text1" w:themeTint="BF"/>
                <w:sz w:val="21"/>
                <w:szCs w:val="21"/>
                <w:lang w:val="en-GB"/>
              </w:rPr>
              <w:drawing>
                <wp:inline distT="0" distB="0" distL="0" distR="0" wp14:anchorId="0B2B922D" wp14:editId="0076C17E">
                  <wp:extent cx="2057172" cy="685800"/>
                  <wp:effectExtent l="0" t="0" r="635" b="0"/>
                  <wp:docPr id="121" name="Picture 1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172" cy="685800"/>
                          </a:xfrm>
                          <a:prstGeom prst="rect">
                            <a:avLst/>
                          </a:prstGeom>
                        </pic:spPr>
                      </pic:pic>
                    </a:graphicData>
                  </a:graphic>
                </wp:inline>
              </w:drawing>
            </w:r>
          </w:p>
        </w:tc>
      </w:tr>
    </w:tbl>
    <w:p w14:paraId="6305FF77" w14:textId="77777777" w:rsidR="005F6DE7" w:rsidRPr="003C206F" w:rsidRDefault="005F6DE7" w:rsidP="00C17E8E">
      <w:pPr>
        <w:jc w:val="both"/>
        <w:rPr>
          <w:rFonts w:ascii="Roboto" w:hAnsi="Roboto"/>
          <w:color w:val="404040" w:themeColor="text1" w:themeTint="BF"/>
          <w:sz w:val="21"/>
          <w:szCs w:val="21"/>
          <w:lang w:val="en-GB"/>
        </w:rPr>
      </w:pPr>
    </w:p>
    <w:p w14:paraId="1CFAAF53" w14:textId="6D0FB237" w:rsidR="006A30C4" w:rsidRPr="003C206F" w:rsidRDefault="006A30C4" w:rsidP="006A30C4">
      <w:pPr>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Figure 1.1 shows that, as of 2021, the KSA ranks 98</w:t>
      </w:r>
      <w:r w:rsidRPr="003C206F">
        <w:rPr>
          <w:rFonts w:ascii="Roboto" w:hAnsi="Roboto"/>
          <w:color w:val="404040" w:themeColor="text1" w:themeTint="BF"/>
          <w:sz w:val="21"/>
          <w:szCs w:val="21"/>
          <w:vertAlign w:val="superscript"/>
          <w:lang w:val="en-GB"/>
        </w:rPr>
        <w:t>th</w:t>
      </w:r>
      <w:r w:rsidRPr="003C206F">
        <w:rPr>
          <w:rFonts w:ascii="Roboto" w:hAnsi="Roboto"/>
          <w:color w:val="404040" w:themeColor="text1" w:themeTint="BF"/>
          <w:sz w:val="21"/>
          <w:szCs w:val="21"/>
          <w:lang w:val="en-GB"/>
        </w:rPr>
        <w:t xml:space="preserve"> out of 165 countries</w:t>
      </w:r>
      <w:r w:rsidR="00B83CFD">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w:t>
      </w:r>
    </w:p>
    <w:p w14:paraId="5824B56E" w14:textId="77777777" w:rsidR="006A30C4" w:rsidRPr="003C206F" w:rsidRDefault="006A30C4" w:rsidP="006A30C4">
      <w:pPr>
        <w:jc w:val="both"/>
        <w:rPr>
          <w:rFonts w:ascii="Roboto" w:hAnsi="Roboto"/>
          <w:color w:val="404040" w:themeColor="text1" w:themeTint="BF"/>
          <w:sz w:val="21"/>
          <w:szCs w:val="21"/>
          <w:lang w:val="en-GB"/>
        </w:rPr>
      </w:pPr>
    </w:p>
    <w:p w14:paraId="3AE680FE" w14:textId="0EBCB737" w:rsidR="00871C7A" w:rsidRPr="003C206F" w:rsidRDefault="006A30C4" w:rsidP="00C17E8E">
      <w:pPr>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Separated into the UNSDCF’s four Strategic Priority Areas, Figures 1.2–1.5 present a snapshot from the SDR 2021</w:t>
      </w:r>
      <w:r w:rsidR="006426D9">
        <w:rPr>
          <w:rFonts w:ascii="Roboto" w:hAnsi="Roboto"/>
          <w:color w:val="404040" w:themeColor="text1" w:themeTint="BF"/>
          <w:sz w:val="21"/>
          <w:szCs w:val="21"/>
          <w:lang w:val="en-GB"/>
        </w:rPr>
        <w:t>.</w:t>
      </w:r>
      <w:r w:rsidRPr="003C206F">
        <w:rPr>
          <w:rFonts w:ascii="Roboto" w:hAnsi="Roboto"/>
          <w:color w:val="404040" w:themeColor="text1" w:themeTint="BF"/>
          <w:sz w:val="21"/>
          <w:szCs w:val="21"/>
          <w:vertAlign w:val="superscript"/>
          <w:lang w:val="en-GB"/>
        </w:rPr>
        <w:endnoteReference w:id="8"/>
      </w:r>
      <w:r w:rsidRPr="003C206F">
        <w:rPr>
          <w:rFonts w:ascii="Roboto" w:hAnsi="Roboto"/>
          <w:color w:val="404040" w:themeColor="text1" w:themeTint="BF"/>
          <w:sz w:val="21"/>
          <w:szCs w:val="21"/>
          <w:lang w:val="en-GB"/>
        </w:rPr>
        <w:t xml:space="preserve"> </w:t>
      </w:r>
      <w:r w:rsidR="006426D9">
        <w:rPr>
          <w:rFonts w:ascii="Roboto" w:hAnsi="Roboto"/>
          <w:color w:val="404040" w:themeColor="text1" w:themeTint="BF"/>
          <w:sz w:val="21"/>
          <w:szCs w:val="21"/>
          <w:lang w:val="en-GB"/>
        </w:rPr>
        <w:t xml:space="preserve">These figures provide </w:t>
      </w:r>
      <w:r w:rsidRPr="003C206F">
        <w:rPr>
          <w:rFonts w:ascii="Roboto" w:hAnsi="Roboto"/>
          <w:color w:val="404040" w:themeColor="text1" w:themeTint="BF"/>
          <w:sz w:val="21"/>
          <w:szCs w:val="21"/>
          <w:lang w:val="en-GB"/>
        </w:rPr>
        <w:t xml:space="preserve">a more granular perspective </w:t>
      </w:r>
      <w:r w:rsidR="006426D9">
        <w:rPr>
          <w:rFonts w:ascii="Roboto" w:hAnsi="Roboto"/>
          <w:color w:val="404040" w:themeColor="text1" w:themeTint="BF"/>
          <w:sz w:val="21"/>
          <w:szCs w:val="21"/>
          <w:lang w:val="en-GB"/>
        </w:rPr>
        <w:t xml:space="preserve">and </w:t>
      </w:r>
      <w:r w:rsidRPr="003C206F">
        <w:rPr>
          <w:rFonts w:ascii="Roboto" w:hAnsi="Roboto"/>
          <w:color w:val="404040" w:themeColor="text1" w:themeTint="BF"/>
          <w:sz w:val="21"/>
          <w:szCs w:val="21"/>
          <w:lang w:val="en-GB"/>
        </w:rPr>
        <w:t>describ</w:t>
      </w:r>
      <w:r w:rsidR="006426D9">
        <w:rPr>
          <w:rFonts w:ascii="Roboto" w:hAnsi="Roboto"/>
          <w:color w:val="404040" w:themeColor="text1" w:themeTint="BF"/>
          <w:sz w:val="21"/>
          <w:szCs w:val="21"/>
          <w:lang w:val="en-GB"/>
        </w:rPr>
        <w:t>e</w:t>
      </w:r>
      <w:r w:rsidRPr="003C206F">
        <w:rPr>
          <w:rFonts w:ascii="Roboto" w:hAnsi="Roboto"/>
          <w:color w:val="404040" w:themeColor="text1" w:themeTint="BF"/>
          <w:sz w:val="21"/>
          <w:szCs w:val="21"/>
          <w:lang w:val="en-GB"/>
        </w:rPr>
        <w:t xml:space="preserve"> the KSA’s progress </w:t>
      </w:r>
      <w:r>
        <w:rPr>
          <w:rFonts w:ascii="Roboto" w:hAnsi="Roboto"/>
          <w:color w:val="404040" w:themeColor="text1" w:themeTint="BF"/>
          <w:sz w:val="21"/>
          <w:szCs w:val="21"/>
          <w:lang w:val="en-GB"/>
        </w:rPr>
        <w:t>in terms of</w:t>
      </w:r>
      <w:r w:rsidRPr="003C206F">
        <w:rPr>
          <w:rFonts w:ascii="Roboto" w:hAnsi="Roboto"/>
          <w:color w:val="404040" w:themeColor="text1" w:themeTint="BF"/>
          <w:sz w:val="21"/>
          <w:szCs w:val="21"/>
          <w:lang w:val="en-GB"/>
        </w:rPr>
        <w:t xml:space="preserve"> each of their 92 SDG/SDR indicators. Using the same colour-coding system as in Figure 1.1, these figures rate</w:t>
      </w:r>
      <w:r>
        <w:rPr>
          <w:rFonts w:ascii="Roboto" w:hAnsi="Roboto"/>
          <w:color w:val="404040" w:themeColor="text1" w:themeTint="BF"/>
          <w:sz w:val="21"/>
          <w:szCs w:val="21"/>
          <w:lang w:val="en-GB"/>
        </w:rPr>
        <w:t xml:space="preserve"> the status</w:t>
      </w:r>
      <w:r w:rsidRPr="003C206F">
        <w:rPr>
          <w:rFonts w:ascii="Roboto" w:hAnsi="Roboto"/>
          <w:color w:val="404040" w:themeColor="text1" w:themeTint="BF"/>
          <w:sz w:val="21"/>
          <w:szCs w:val="21"/>
          <w:lang w:val="en-GB"/>
        </w:rPr>
        <w:t xml:space="preserve"> </w:t>
      </w:r>
      <w:r>
        <w:rPr>
          <w:rFonts w:ascii="Roboto" w:hAnsi="Roboto"/>
          <w:color w:val="404040" w:themeColor="text1" w:themeTint="BF"/>
          <w:sz w:val="21"/>
          <w:szCs w:val="21"/>
          <w:lang w:val="en-GB"/>
        </w:rPr>
        <w:t xml:space="preserve">of </w:t>
      </w:r>
      <w:r w:rsidRPr="003C206F">
        <w:rPr>
          <w:rFonts w:ascii="Roboto" w:hAnsi="Roboto"/>
          <w:color w:val="404040" w:themeColor="text1" w:themeTint="BF"/>
          <w:sz w:val="21"/>
          <w:szCs w:val="21"/>
          <w:lang w:val="en-GB"/>
        </w:rPr>
        <w:t xml:space="preserve">each SDG/SDR indicator </w:t>
      </w:r>
      <w:r>
        <w:rPr>
          <w:rFonts w:ascii="Roboto" w:hAnsi="Roboto"/>
          <w:color w:val="404040" w:themeColor="text1" w:themeTint="BF"/>
          <w:sz w:val="21"/>
          <w:szCs w:val="21"/>
          <w:lang w:val="en-GB"/>
        </w:rPr>
        <w:t>and identify its corresponding</w:t>
      </w:r>
      <w:r w:rsidRPr="003C206F">
        <w:rPr>
          <w:rFonts w:ascii="Roboto" w:hAnsi="Roboto"/>
          <w:color w:val="404040" w:themeColor="text1" w:themeTint="BF"/>
          <w:sz w:val="21"/>
          <w:szCs w:val="21"/>
          <w:lang w:val="en-GB"/>
        </w:rPr>
        <w:t xml:space="preserve"> trend</w:t>
      </w:r>
      <w:r>
        <w:rPr>
          <w:rFonts w:ascii="Roboto" w:hAnsi="Roboto"/>
          <w:color w:val="404040" w:themeColor="text1" w:themeTint="BF"/>
          <w:sz w:val="21"/>
          <w:szCs w:val="21"/>
          <w:lang w:val="en-GB"/>
        </w:rPr>
        <w:t xml:space="preserve"> while listing </w:t>
      </w:r>
      <w:r w:rsidRPr="003C206F">
        <w:rPr>
          <w:rFonts w:ascii="Roboto" w:hAnsi="Roboto"/>
          <w:color w:val="404040" w:themeColor="text1" w:themeTint="BF"/>
          <w:sz w:val="21"/>
          <w:szCs w:val="21"/>
          <w:lang w:val="en-GB"/>
        </w:rPr>
        <w:t>the most recent values registered for each indicator and the year in which that value was reported.</w:t>
      </w:r>
    </w:p>
    <w:p w14:paraId="0E116CD3" w14:textId="77777777" w:rsidR="00871C7A" w:rsidRDefault="00871C7A" w:rsidP="0043136E">
      <w:pPr>
        <w:rPr>
          <w:rFonts w:ascii="Roboto" w:hAnsi="Roboto"/>
          <w:color w:val="404040" w:themeColor="text1" w:themeTint="BF"/>
          <w:sz w:val="21"/>
          <w:szCs w:val="21"/>
          <w:lang w:val="en-GB"/>
        </w:rPr>
      </w:pPr>
    </w:p>
    <w:p w14:paraId="0DD2165C" w14:textId="77777777" w:rsidR="0072563C" w:rsidRDefault="0072563C" w:rsidP="0043136E">
      <w:pPr>
        <w:rPr>
          <w:rFonts w:ascii="Roboto" w:hAnsi="Roboto"/>
          <w:color w:val="404040" w:themeColor="text1" w:themeTint="BF"/>
          <w:sz w:val="21"/>
          <w:szCs w:val="21"/>
          <w:lang w:val="en-GB"/>
        </w:rPr>
      </w:pPr>
    </w:p>
    <w:p w14:paraId="3E76519A" w14:textId="77777777" w:rsidR="0072563C" w:rsidRDefault="0072563C" w:rsidP="0043136E">
      <w:pPr>
        <w:rPr>
          <w:rFonts w:ascii="Roboto" w:hAnsi="Roboto"/>
          <w:color w:val="404040" w:themeColor="text1" w:themeTint="BF"/>
          <w:sz w:val="21"/>
          <w:szCs w:val="21"/>
          <w:lang w:val="en-GB"/>
        </w:rPr>
      </w:pPr>
    </w:p>
    <w:p w14:paraId="1DA31F04" w14:textId="77777777" w:rsidR="0072563C" w:rsidRDefault="0072563C" w:rsidP="0043136E">
      <w:pPr>
        <w:rPr>
          <w:rFonts w:ascii="Roboto" w:hAnsi="Roboto"/>
          <w:color w:val="404040" w:themeColor="text1" w:themeTint="BF"/>
          <w:sz w:val="21"/>
          <w:szCs w:val="21"/>
          <w:lang w:val="en-GB"/>
        </w:rPr>
      </w:pPr>
    </w:p>
    <w:p w14:paraId="73E1CEC8" w14:textId="5C254A60" w:rsidR="0072563C" w:rsidRPr="003C206F" w:rsidRDefault="0072563C" w:rsidP="0043136E">
      <w:pPr>
        <w:rPr>
          <w:rFonts w:ascii="Roboto" w:hAnsi="Roboto"/>
          <w:color w:val="404040" w:themeColor="text1" w:themeTint="BF"/>
          <w:sz w:val="21"/>
          <w:szCs w:val="21"/>
          <w:lang w:val="en-GB"/>
        </w:rPr>
        <w:sectPr w:rsidR="0072563C" w:rsidRPr="003C206F" w:rsidSect="00745785">
          <w:pgSz w:w="11906" w:h="16838"/>
          <w:pgMar w:top="1440" w:right="1440" w:bottom="1440" w:left="1440" w:header="720" w:footer="720" w:gutter="0"/>
          <w:cols w:space="720"/>
          <w:noEndnote/>
          <w:titlePg/>
          <w:docGrid w:linePitch="326"/>
        </w:sectPr>
      </w:pPr>
    </w:p>
    <w:tbl>
      <w:tblPr>
        <w:tblStyle w:val="TableGrid"/>
        <w:tblW w:w="4315" w:type="dxa"/>
        <w:jc w:val="center"/>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315"/>
      </w:tblGrid>
      <w:tr w:rsidR="00871C7A" w:rsidRPr="003C206F" w14:paraId="16435428" w14:textId="77777777" w:rsidTr="009C52C9">
        <w:trPr>
          <w:trHeight w:val="179"/>
          <w:jc w:val="center"/>
        </w:trPr>
        <w:tc>
          <w:tcPr>
            <w:tcW w:w="4315" w:type="dxa"/>
            <w:shd w:val="clear" w:color="auto" w:fill="26BDE2"/>
          </w:tcPr>
          <w:p w14:paraId="51ADDEA5" w14:textId="20094909" w:rsidR="00871C7A" w:rsidRPr="008029E6" w:rsidRDefault="00871C7A" w:rsidP="00F25C36">
            <w:pPr>
              <w:rPr>
                <w:rFonts w:ascii="Roboto" w:hAnsi="Roboto"/>
                <w:b/>
                <w:bCs/>
                <w:color w:val="FFFFFF" w:themeColor="background1"/>
                <w:sz w:val="20"/>
                <w:szCs w:val="20"/>
                <w:lang w:val="en-GB"/>
              </w:rPr>
            </w:pPr>
            <w:r w:rsidRPr="008029E6">
              <w:rPr>
                <w:rFonts w:ascii="Roboto" w:hAnsi="Roboto"/>
                <w:b/>
                <w:bCs/>
                <w:color w:val="FFFFFF" w:themeColor="background1"/>
                <w:sz w:val="20"/>
                <w:szCs w:val="20"/>
                <w:lang w:val="en-GB"/>
              </w:rPr>
              <w:lastRenderedPageBreak/>
              <w:t>Figure 1.2 Strategic Priority Area 1: SDG/SDR Indicator Ratings and Trends</w:t>
            </w:r>
          </w:p>
        </w:tc>
      </w:tr>
      <w:tr w:rsidR="00871C7A" w:rsidRPr="003C206F" w14:paraId="174F2C6C" w14:textId="77777777" w:rsidTr="009C52C9">
        <w:trPr>
          <w:trHeight w:val="6600"/>
          <w:jc w:val="center"/>
        </w:trPr>
        <w:tc>
          <w:tcPr>
            <w:tcW w:w="4315" w:type="dxa"/>
          </w:tcPr>
          <w:p w14:paraId="300051CF" w14:textId="1FEE3508" w:rsidR="00871C7A" w:rsidRPr="003C206F" w:rsidRDefault="00871C7A" w:rsidP="00F25C36">
            <w:pPr>
              <w:rPr>
                <w:rFonts w:ascii="Roboto" w:hAnsi="Roboto" w:cstheme="minorBidi"/>
                <w:b/>
                <w:bCs/>
                <w:color w:val="404040" w:themeColor="text1" w:themeTint="BF"/>
                <w:lang w:val="en-GB"/>
              </w:rPr>
            </w:pPr>
            <w:r w:rsidRPr="003C206F">
              <w:rPr>
                <w:rFonts w:ascii="Roboto" w:hAnsi="Roboto" w:cstheme="minorBidi"/>
                <w:b/>
                <w:noProof/>
                <w:color w:val="404040" w:themeColor="text1" w:themeTint="BF"/>
                <w:lang w:val="en-GB"/>
              </w:rPr>
              <w:drawing>
                <wp:inline distT="0" distB="0" distL="0" distR="0" wp14:anchorId="49B6255E" wp14:editId="11FC731E">
                  <wp:extent cx="2584174" cy="4179685"/>
                  <wp:effectExtent l="0" t="0" r="0" b="0"/>
                  <wp:docPr id="75" name="Picture 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10;&#10;Description automatically generated"/>
                          <pic:cNvPicPr/>
                        </pic:nvPicPr>
                        <pic:blipFill rotWithShape="1">
                          <a:blip r:embed="rId25" cstate="print">
                            <a:extLst>
                              <a:ext uri="{28A0092B-C50C-407E-A947-70E740481C1C}">
                                <a14:useLocalDpi xmlns:a14="http://schemas.microsoft.com/office/drawing/2010/main" val="0"/>
                              </a:ext>
                            </a:extLst>
                          </a:blip>
                          <a:srcRect b="876"/>
                          <a:stretch/>
                        </pic:blipFill>
                        <pic:spPr bwMode="auto">
                          <a:xfrm>
                            <a:off x="0" y="0"/>
                            <a:ext cx="2599768" cy="42049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93523A" w14:textId="74BFEE74" w:rsidR="00871C7A" w:rsidRPr="003C206F" w:rsidRDefault="00871C7A" w:rsidP="00771A1E">
      <w:pPr>
        <w:rPr>
          <w:rFonts w:ascii="Roboto" w:hAnsi="Roboto"/>
          <w:b/>
          <w:bCs/>
          <w:color w:val="404040" w:themeColor="text1" w:themeTint="BF"/>
          <w:lang w:val="en-GB"/>
        </w:rPr>
      </w:pPr>
    </w:p>
    <w:tbl>
      <w:tblPr>
        <w:tblStyle w:val="TableGrid"/>
        <w:tblW w:w="4320" w:type="dxa"/>
        <w:jc w:val="center"/>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320"/>
      </w:tblGrid>
      <w:tr w:rsidR="00871C7A" w:rsidRPr="003C206F" w14:paraId="713ACB4E" w14:textId="77777777" w:rsidTr="009C52C9">
        <w:trPr>
          <w:trHeight w:val="180"/>
          <w:jc w:val="center"/>
        </w:trPr>
        <w:tc>
          <w:tcPr>
            <w:tcW w:w="4320" w:type="dxa"/>
            <w:tcBorders>
              <w:top w:val="single" w:sz="24" w:space="0" w:color="FF3A21"/>
              <w:left w:val="single" w:sz="24" w:space="0" w:color="FF3A21"/>
              <w:bottom w:val="single" w:sz="24" w:space="0" w:color="FF3A21"/>
              <w:right w:val="single" w:sz="24" w:space="0" w:color="FF3A21"/>
            </w:tcBorders>
            <w:shd w:val="clear" w:color="auto" w:fill="FF3A21"/>
          </w:tcPr>
          <w:p w14:paraId="52D284BB" w14:textId="4525F9BD" w:rsidR="00871C7A" w:rsidRPr="008029E6" w:rsidRDefault="00871C7A" w:rsidP="00F25C36">
            <w:pPr>
              <w:rPr>
                <w:rFonts w:ascii="Roboto" w:hAnsi="Roboto"/>
                <w:b/>
                <w:bCs/>
                <w:color w:val="FFFFFF" w:themeColor="background1"/>
                <w:sz w:val="20"/>
                <w:szCs w:val="20"/>
                <w:lang w:val="en-GB"/>
              </w:rPr>
            </w:pPr>
            <w:r w:rsidRPr="008029E6">
              <w:rPr>
                <w:rFonts w:ascii="Roboto" w:hAnsi="Roboto"/>
                <w:b/>
                <w:bCs/>
                <w:color w:val="FFFFFF" w:themeColor="background1"/>
                <w:sz w:val="20"/>
                <w:szCs w:val="20"/>
                <w:lang w:val="en-GB"/>
              </w:rPr>
              <w:t>Figure 1.3 Strategic Priority Area 2: SDG/SDR Indicator Ratings and Trends</w:t>
            </w:r>
          </w:p>
        </w:tc>
      </w:tr>
      <w:tr w:rsidR="00871C7A" w:rsidRPr="003C206F" w14:paraId="0D57DC92" w14:textId="77777777" w:rsidTr="009C52C9">
        <w:tblPrEx>
          <w:tblBorders>
            <w:top w:val="single" w:sz="24" w:space="0" w:color="FF3A21"/>
            <w:left w:val="single" w:sz="24" w:space="0" w:color="FF3A21"/>
            <w:bottom w:val="single" w:sz="24" w:space="0" w:color="FF3A21"/>
            <w:right w:val="single" w:sz="24" w:space="0" w:color="FF3A21"/>
            <w:insideH w:val="single" w:sz="24" w:space="0" w:color="FF3A21"/>
            <w:insideV w:val="single" w:sz="24" w:space="0" w:color="FF3A21"/>
          </w:tblBorders>
        </w:tblPrEx>
        <w:trPr>
          <w:trHeight w:val="5385"/>
          <w:jc w:val="center"/>
        </w:trPr>
        <w:tc>
          <w:tcPr>
            <w:tcW w:w="4320" w:type="dxa"/>
            <w:tcBorders>
              <w:top w:val="single" w:sz="24" w:space="0" w:color="FF3A21"/>
            </w:tcBorders>
          </w:tcPr>
          <w:p w14:paraId="7559B3E9" w14:textId="2D9F6536" w:rsidR="00871C7A" w:rsidRPr="003C206F" w:rsidRDefault="00871C7A" w:rsidP="00F25C36">
            <w:pPr>
              <w:rPr>
                <w:rFonts w:ascii="Roboto" w:hAnsi="Roboto" w:cstheme="minorBidi"/>
                <w:b/>
                <w:bCs/>
                <w:color w:val="404040" w:themeColor="text1" w:themeTint="BF"/>
                <w:lang w:val="en-GB"/>
              </w:rPr>
            </w:pPr>
            <w:r w:rsidRPr="003C206F">
              <w:rPr>
                <w:rFonts w:ascii="Roboto" w:hAnsi="Roboto" w:cstheme="minorBidi"/>
                <w:b/>
                <w:noProof/>
                <w:color w:val="404040" w:themeColor="text1" w:themeTint="BF"/>
                <w:lang w:val="en-GB"/>
              </w:rPr>
              <w:drawing>
                <wp:inline distT="0" distB="0" distL="0" distR="0" wp14:anchorId="69000D9D" wp14:editId="4D8008ED">
                  <wp:extent cx="2587752" cy="3414419"/>
                  <wp:effectExtent l="0" t="0" r="3175" b="1905"/>
                  <wp:docPr id="76" name="Picture 7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7752" cy="3414419"/>
                          </a:xfrm>
                          <a:prstGeom prst="rect">
                            <a:avLst/>
                          </a:prstGeom>
                        </pic:spPr>
                      </pic:pic>
                    </a:graphicData>
                  </a:graphic>
                </wp:inline>
              </w:drawing>
            </w:r>
          </w:p>
        </w:tc>
      </w:tr>
      <w:tr w:rsidR="00871C7A" w:rsidRPr="003C206F" w14:paraId="599BA89E" w14:textId="77777777" w:rsidTr="009C52C9">
        <w:tblPrEx>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PrEx>
        <w:trPr>
          <w:trHeight w:val="96"/>
          <w:jc w:val="center"/>
        </w:trPr>
        <w:tc>
          <w:tcPr>
            <w:tcW w:w="4320" w:type="dxa"/>
            <w:shd w:val="clear" w:color="auto" w:fill="4C9F38"/>
          </w:tcPr>
          <w:p w14:paraId="0FF23303" w14:textId="51C9AE6F" w:rsidR="00871C7A" w:rsidRPr="008029E6" w:rsidRDefault="00871C7A" w:rsidP="006E5BB0">
            <w:pPr>
              <w:rPr>
                <w:rFonts w:ascii="Roboto" w:hAnsi="Roboto"/>
                <w:b/>
                <w:bCs/>
                <w:color w:val="FFFFFF" w:themeColor="background1"/>
                <w:sz w:val="20"/>
                <w:szCs w:val="20"/>
                <w:lang w:val="en-GB"/>
              </w:rPr>
            </w:pPr>
            <w:r w:rsidRPr="008029E6">
              <w:rPr>
                <w:rFonts w:ascii="Roboto" w:hAnsi="Roboto"/>
                <w:b/>
                <w:bCs/>
                <w:color w:val="FFFFFF" w:themeColor="background1"/>
                <w:sz w:val="20"/>
                <w:szCs w:val="20"/>
                <w:lang w:val="en-GB"/>
              </w:rPr>
              <w:t>Figure 1.4 Strategic Priority Area 3: SDG/SDR Indicator Ratings and Trends</w:t>
            </w:r>
          </w:p>
        </w:tc>
      </w:tr>
      <w:tr w:rsidR="00871C7A" w:rsidRPr="003C206F" w14:paraId="063B93F1" w14:textId="77777777" w:rsidTr="009C52C9">
        <w:tblPrEx>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PrEx>
        <w:trPr>
          <w:trHeight w:val="4256"/>
          <w:jc w:val="center"/>
        </w:trPr>
        <w:tc>
          <w:tcPr>
            <w:tcW w:w="4320" w:type="dxa"/>
          </w:tcPr>
          <w:p w14:paraId="43A0ADE2" w14:textId="2895BD12" w:rsidR="00871C7A" w:rsidRPr="003C206F" w:rsidRDefault="00871C7A" w:rsidP="006E5BB0">
            <w:pPr>
              <w:rPr>
                <w:rFonts w:ascii="Roboto" w:hAnsi="Roboto" w:cstheme="minorBidi"/>
                <w:b/>
                <w:bCs/>
                <w:color w:val="404040" w:themeColor="text1" w:themeTint="BF"/>
                <w:lang w:val="en-GB"/>
              </w:rPr>
            </w:pPr>
            <w:r w:rsidRPr="003C206F">
              <w:rPr>
                <w:rFonts w:ascii="Roboto" w:hAnsi="Roboto" w:cstheme="minorBidi"/>
                <w:b/>
                <w:noProof/>
                <w:color w:val="404040" w:themeColor="text1" w:themeTint="BF"/>
                <w:lang w:val="en-GB"/>
              </w:rPr>
              <w:drawing>
                <wp:inline distT="0" distB="0" distL="0" distR="0" wp14:anchorId="0D875E2F" wp14:editId="4D55F952">
                  <wp:extent cx="2587752" cy="3380566"/>
                  <wp:effectExtent l="0" t="0" r="3175" b="0"/>
                  <wp:docPr id="77" name="Picture 7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7752" cy="3380566"/>
                          </a:xfrm>
                          <a:prstGeom prst="rect">
                            <a:avLst/>
                          </a:prstGeom>
                        </pic:spPr>
                      </pic:pic>
                    </a:graphicData>
                  </a:graphic>
                </wp:inline>
              </w:drawing>
            </w:r>
          </w:p>
        </w:tc>
      </w:tr>
    </w:tbl>
    <w:p w14:paraId="4F5D7CBD" w14:textId="77777777" w:rsidR="00871C7A" w:rsidRPr="003C206F" w:rsidRDefault="00871C7A" w:rsidP="00771A1E">
      <w:pPr>
        <w:rPr>
          <w:rFonts w:ascii="Roboto" w:hAnsi="Roboto"/>
          <w:b/>
          <w:bCs/>
          <w:color w:val="404040" w:themeColor="text1" w:themeTint="BF"/>
          <w:lang w:val="en-GB"/>
        </w:rPr>
      </w:pPr>
    </w:p>
    <w:p w14:paraId="1A5D4604" w14:textId="2B54E9E4" w:rsidR="00871C7A" w:rsidRPr="003C206F" w:rsidRDefault="00871C7A" w:rsidP="00771A1E">
      <w:pPr>
        <w:rPr>
          <w:rFonts w:ascii="Roboto" w:hAnsi="Roboto"/>
          <w:b/>
          <w:bCs/>
          <w:color w:val="404040" w:themeColor="text1" w:themeTint="BF"/>
          <w:lang w:val="en-GB"/>
        </w:rPr>
      </w:pPr>
    </w:p>
    <w:p w14:paraId="32BB482F" w14:textId="55CD0EB6" w:rsidR="00871C7A" w:rsidRPr="003C206F" w:rsidRDefault="00871C7A" w:rsidP="00771A1E">
      <w:pPr>
        <w:rPr>
          <w:rFonts w:ascii="Roboto" w:hAnsi="Roboto"/>
          <w:b/>
          <w:bCs/>
          <w:color w:val="404040" w:themeColor="text1" w:themeTint="BF"/>
          <w:lang w:val="en-GB"/>
        </w:rPr>
      </w:pPr>
    </w:p>
    <w:p w14:paraId="36BA3B94" w14:textId="218C5FFA" w:rsidR="00871C7A" w:rsidRPr="003C206F" w:rsidRDefault="00871C7A" w:rsidP="00771A1E">
      <w:pPr>
        <w:rPr>
          <w:rFonts w:ascii="Roboto" w:hAnsi="Roboto"/>
          <w:b/>
          <w:bCs/>
          <w:color w:val="404040" w:themeColor="text1" w:themeTint="BF"/>
          <w:lang w:val="en-GB"/>
        </w:rPr>
      </w:pPr>
    </w:p>
    <w:p w14:paraId="214AD10A" w14:textId="4E423098" w:rsidR="00871C7A" w:rsidRPr="003C206F" w:rsidRDefault="00871C7A" w:rsidP="00771A1E">
      <w:pPr>
        <w:rPr>
          <w:rFonts w:ascii="Roboto" w:hAnsi="Roboto"/>
          <w:b/>
          <w:bCs/>
          <w:color w:val="404040" w:themeColor="text1" w:themeTint="BF"/>
          <w:lang w:val="en-GB"/>
        </w:rPr>
      </w:pPr>
    </w:p>
    <w:p w14:paraId="5C4F0764" w14:textId="77777777" w:rsidR="00871C7A" w:rsidRPr="003C206F" w:rsidRDefault="00871C7A" w:rsidP="00771A1E">
      <w:pPr>
        <w:rPr>
          <w:rFonts w:ascii="Roboto" w:hAnsi="Roboto"/>
          <w:b/>
          <w:bCs/>
          <w:color w:val="404040" w:themeColor="text1" w:themeTint="BF"/>
          <w:sz w:val="13"/>
          <w:szCs w:val="13"/>
          <w:lang w:val="en-GB"/>
        </w:rPr>
      </w:pPr>
    </w:p>
    <w:tbl>
      <w:tblPr>
        <w:tblStyle w:val="TableGrid"/>
        <w:tblW w:w="4320" w:type="dxa"/>
        <w:jc w:val="center"/>
        <w:tblBorders>
          <w:top w:val="single" w:sz="24" w:space="0" w:color="FCC30B"/>
          <w:left w:val="single" w:sz="24" w:space="0" w:color="FCC30B"/>
          <w:bottom w:val="single" w:sz="24" w:space="0" w:color="FCC30B"/>
          <w:right w:val="single" w:sz="24" w:space="0" w:color="FCC30B"/>
          <w:insideH w:val="single" w:sz="24" w:space="0" w:color="FCC30B"/>
          <w:insideV w:val="single" w:sz="24" w:space="0" w:color="FCC30B"/>
        </w:tblBorders>
        <w:tblLook w:val="04A0" w:firstRow="1" w:lastRow="0" w:firstColumn="1" w:lastColumn="0" w:noHBand="0" w:noVBand="1"/>
      </w:tblPr>
      <w:tblGrid>
        <w:gridCol w:w="4320"/>
      </w:tblGrid>
      <w:tr w:rsidR="00871C7A" w:rsidRPr="003C206F" w14:paraId="41DB05F6" w14:textId="77777777" w:rsidTr="009C52C9">
        <w:trPr>
          <w:trHeight w:val="108"/>
          <w:jc w:val="center"/>
        </w:trPr>
        <w:tc>
          <w:tcPr>
            <w:tcW w:w="4320" w:type="dxa"/>
            <w:shd w:val="clear" w:color="auto" w:fill="FCC30B"/>
          </w:tcPr>
          <w:p w14:paraId="65BA9460" w14:textId="2BF3432C" w:rsidR="00871C7A" w:rsidRPr="008029E6" w:rsidRDefault="00871C7A" w:rsidP="006E5BB0">
            <w:pPr>
              <w:rPr>
                <w:rFonts w:ascii="Roboto" w:hAnsi="Roboto"/>
                <w:b/>
                <w:bCs/>
                <w:color w:val="FFFFFF" w:themeColor="background1"/>
                <w:sz w:val="20"/>
                <w:szCs w:val="20"/>
                <w:lang w:val="en-GB"/>
              </w:rPr>
            </w:pPr>
            <w:r w:rsidRPr="008029E6">
              <w:rPr>
                <w:rFonts w:ascii="Roboto" w:hAnsi="Roboto"/>
                <w:b/>
                <w:bCs/>
                <w:color w:val="FFFFFF" w:themeColor="background1"/>
                <w:sz w:val="20"/>
                <w:szCs w:val="20"/>
                <w:lang w:val="en-GB"/>
              </w:rPr>
              <w:t>Figure 1.5 Strategic Priority Area 4: SDG/SDR Indicator Ratings and Trends</w:t>
            </w:r>
          </w:p>
        </w:tc>
      </w:tr>
      <w:tr w:rsidR="00871C7A" w:rsidRPr="003C206F" w14:paraId="7D192BE7" w14:textId="77777777" w:rsidTr="009C52C9">
        <w:trPr>
          <w:trHeight w:val="3343"/>
          <w:jc w:val="center"/>
        </w:trPr>
        <w:tc>
          <w:tcPr>
            <w:tcW w:w="4320" w:type="dxa"/>
          </w:tcPr>
          <w:p w14:paraId="0A80751A" w14:textId="093C8152" w:rsidR="00871C7A" w:rsidRPr="003C206F" w:rsidRDefault="00871C7A" w:rsidP="009C52C9">
            <w:pPr>
              <w:jc w:val="center"/>
              <w:rPr>
                <w:rFonts w:ascii="Roboto" w:hAnsi="Roboto" w:cstheme="minorBidi"/>
                <w:b/>
                <w:bCs/>
                <w:color w:val="404040" w:themeColor="text1" w:themeTint="BF"/>
                <w:lang w:val="en-GB"/>
              </w:rPr>
            </w:pPr>
            <w:r w:rsidRPr="003C206F">
              <w:rPr>
                <w:rFonts w:ascii="Roboto" w:hAnsi="Roboto" w:cstheme="minorBidi"/>
                <w:b/>
                <w:noProof/>
                <w:color w:val="404040" w:themeColor="text1" w:themeTint="BF"/>
                <w:lang w:val="en-GB"/>
              </w:rPr>
              <w:drawing>
                <wp:inline distT="0" distB="0" distL="0" distR="0" wp14:anchorId="14166588" wp14:editId="7624A73C">
                  <wp:extent cx="2587752" cy="2086010"/>
                  <wp:effectExtent l="0" t="0" r="3175" b="0"/>
                  <wp:docPr id="78" name="Picture 7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ext&#10;&#10;Description automatically generated with medium confidence"/>
                          <pic:cNvPicPr/>
                        </pic:nvPicPr>
                        <pic:blipFill rotWithShape="1">
                          <a:blip r:embed="rId28" cstate="print">
                            <a:extLst>
                              <a:ext uri="{28A0092B-C50C-407E-A947-70E740481C1C}">
                                <a14:useLocalDpi xmlns:a14="http://schemas.microsoft.com/office/drawing/2010/main" val="0"/>
                              </a:ext>
                            </a:extLst>
                          </a:blip>
                          <a:srcRect b="1369"/>
                          <a:stretch/>
                        </pic:blipFill>
                        <pic:spPr bwMode="auto">
                          <a:xfrm>
                            <a:off x="0" y="0"/>
                            <a:ext cx="2587752" cy="20860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DFD8A9" w14:textId="46AE0BDE" w:rsidR="00871C7A" w:rsidRPr="003C206F" w:rsidRDefault="00871C7A" w:rsidP="00BE5A63">
      <w:pPr>
        <w:jc w:val="both"/>
        <w:rPr>
          <w:rFonts w:ascii="Roboto" w:hAnsi="Roboto" w:cs="Calibri"/>
          <w:b/>
          <w:bCs/>
          <w:color w:val="404040" w:themeColor="text1" w:themeTint="BF"/>
          <w:sz w:val="21"/>
          <w:szCs w:val="21"/>
          <w:lang w:val="en-GB"/>
        </w:rPr>
        <w:sectPr w:rsidR="00871C7A" w:rsidRPr="003C206F" w:rsidSect="00EB2ED3">
          <w:type w:val="continuous"/>
          <w:pgSz w:w="11906" w:h="16838"/>
          <w:pgMar w:top="1440" w:right="1440" w:bottom="1440" w:left="1440" w:header="720" w:footer="720" w:gutter="0"/>
          <w:cols w:num="2" w:space="720"/>
          <w:noEndnote/>
          <w:titlePg/>
          <w:docGrid w:linePitch="326"/>
        </w:sectPr>
      </w:pPr>
    </w:p>
    <w:p w14:paraId="650593D0" w14:textId="77777777" w:rsidR="0071547A" w:rsidRPr="003C206F" w:rsidRDefault="0071547A" w:rsidP="0071547A">
      <w:pPr>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lastRenderedPageBreak/>
        <w:t xml:space="preserve">While the KSA’s SDG achievement status in </w:t>
      </w:r>
      <w:r>
        <w:rPr>
          <w:rFonts w:ascii="Roboto" w:hAnsi="Roboto" w:cs="Calibri"/>
          <w:color w:val="404040" w:themeColor="text1" w:themeTint="BF"/>
          <w:sz w:val="21"/>
          <w:szCs w:val="21"/>
          <w:lang w:val="en-GB"/>
        </w:rPr>
        <w:t>the context</w:t>
      </w:r>
      <w:r w:rsidRPr="003C206F">
        <w:rPr>
          <w:rFonts w:ascii="Roboto" w:hAnsi="Roboto" w:cs="Calibri"/>
          <w:color w:val="404040" w:themeColor="text1" w:themeTint="BF"/>
          <w:sz w:val="21"/>
          <w:szCs w:val="21"/>
          <w:lang w:val="en-GB"/>
        </w:rPr>
        <w:t xml:space="preserve"> of the SDG/SDR indicators as of 2021 is crystalized in Figures 1.2–1.5 above, it is important to recall that the situation is evolving </w:t>
      </w:r>
      <w:r>
        <w:rPr>
          <w:rFonts w:ascii="Roboto" w:hAnsi="Roboto" w:cs="Calibri"/>
          <w:color w:val="404040" w:themeColor="text1" w:themeTint="BF"/>
          <w:sz w:val="21"/>
          <w:szCs w:val="21"/>
          <w:lang w:val="en-GB"/>
        </w:rPr>
        <w:t xml:space="preserve">rapidly </w:t>
      </w:r>
      <w:r w:rsidRPr="003C206F">
        <w:rPr>
          <w:rFonts w:ascii="Roboto" w:hAnsi="Roboto" w:cs="Calibri"/>
          <w:color w:val="404040" w:themeColor="text1" w:themeTint="BF"/>
          <w:sz w:val="21"/>
          <w:szCs w:val="21"/>
          <w:lang w:val="en-GB"/>
        </w:rPr>
        <w:t>and that this snapshot presents a single moment in time. Alongside and intertwined with its national Vision 2030 goals, the KSA’s commitment to improving its indicator ratings over the course of the next UNSDCF 2022–2026 cycle will be buttressed by UN support in the four Strategic Priority Areas identified as part of the UNSDCF.</w:t>
      </w:r>
    </w:p>
    <w:p w14:paraId="22048AAD" w14:textId="77777777" w:rsidR="0071547A" w:rsidRPr="003C206F" w:rsidRDefault="0071547A" w:rsidP="0071547A">
      <w:pPr>
        <w:jc w:val="both"/>
        <w:rPr>
          <w:rFonts w:ascii="Roboto" w:hAnsi="Roboto"/>
          <w:color w:val="404040" w:themeColor="text1" w:themeTint="BF"/>
          <w:sz w:val="21"/>
          <w:szCs w:val="21"/>
          <w:lang w:val="en-GB"/>
        </w:rPr>
      </w:pPr>
    </w:p>
    <w:p w14:paraId="0E3CBBB3" w14:textId="78CD7059" w:rsidR="00871C7A" w:rsidRDefault="0071547A" w:rsidP="0071547A">
      <w:pPr>
        <w:jc w:val="both"/>
        <w:rPr>
          <w:rFonts w:ascii="Roboto" w:hAnsi="Roboto" w:cs="Calibri"/>
          <w:color w:val="404040" w:themeColor="text1" w:themeTint="BF"/>
          <w:sz w:val="21"/>
          <w:szCs w:val="21"/>
          <w:lang w:val="en-GB"/>
        </w:rPr>
      </w:pP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6318" behindDoc="1" locked="0" layoutInCell="1" allowOverlap="1" wp14:anchorId="3A4DD093" wp14:editId="56476387">
                <wp:simplePos x="0" y="0"/>
                <wp:positionH relativeFrom="column">
                  <wp:posOffset>780415</wp:posOffset>
                </wp:positionH>
                <wp:positionV relativeFrom="paragraph">
                  <wp:posOffset>1645920</wp:posOffset>
                </wp:positionV>
                <wp:extent cx="63500" cy="63500"/>
                <wp:effectExtent l="0" t="0" r="0" b="0"/>
                <wp:wrapTight wrapText="bothSides">
                  <wp:wrapPolygon edited="0">
                    <wp:start x="0" y="0"/>
                    <wp:lineTo x="0" y="12960"/>
                    <wp:lineTo x="12960" y="12960"/>
                    <wp:lineTo x="12960" y="0"/>
                    <wp:lineTo x="0" y="0"/>
                  </wp:wrapPolygon>
                </wp:wrapTight>
                <wp:docPr id="39" name="Oval 39"/>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D3B8863" id="Oval 39" o:spid="_x0000_s1026" style="position:absolute;margin-left:61.45pt;margin-top:129.6pt;width:5pt;height:5pt;z-index:-251530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" fillcolor="#aeaaaa [2414]"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5294" behindDoc="1" locked="0" layoutInCell="1" allowOverlap="1" wp14:anchorId="0BC220DE" wp14:editId="31738A90">
                <wp:simplePos x="0" y="0"/>
                <wp:positionH relativeFrom="column">
                  <wp:posOffset>4326255</wp:posOffset>
                </wp:positionH>
                <wp:positionV relativeFrom="paragraph">
                  <wp:posOffset>1173752</wp:posOffset>
                </wp:positionV>
                <wp:extent cx="63500" cy="63500"/>
                <wp:effectExtent l="0" t="0" r="0" b="0"/>
                <wp:wrapTight wrapText="bothSides">
                  <wp:wrapPolygon edited="0">
                    <wp:start x="0" y="0"/>
                    <wp:lineTo x="0" y="12960"/>
                    <wp:lineTo x="12960" y="12960"/>
                    <wp:lineTo x="12960" y="0"/>
                    <wp:lineTo x="0" y="0"/>
                  </wp:wrapPolygon>
                </wp:wrapTight>
                <wp:docPr id="37" name="Oval 37"/>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D421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E8EB02F" id="Oval 37" o:spid="_x0000_s1026" style="position:absolute;margin-left:340.65pt;margin-top:92.4pt;width:5pt;height:5pt;z-index:-251531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" fillcolor="#d4213a"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8366" behindDoc="1" locked="0" layoutInCell="1" allowOverlap="1" wp14:anchorId="38978CB5" wp14:editId="28FDBFCA">
                <wp:simplePos x="0" y="0"/>
                <wp:positionH relativeFrom="column">
                  <wp:posOffset>2034540</wp:posOffset>
                </wp:positionH>
                <wp:positionV relativeFrom="paragraph">
                  <wp:posOffset>1012825</wp:posOffset>
                </wp:positionV>
                <wp:extent cx="63500" cy="63500"/>
                <wp:effectExtent l="0" t="0" r="0" b="0"/>
                <wp:wrapTight wrapText="bothSides">
                  <wp:wrapPolygon edited="0">
                    <wp:start x="0" y="0"/>
                    <wp:lineTo x="0" y="12960"/>
                    <wp:lineTo x="12960" y="12960"/>
                    <wp:lineTo x="12960" y="0"/>
                    <wp:lineTo x="0" y="0"/>
                  </wp:wrapPolygon>
                </wp:wrapTight>
                <wp:docPr id="53" name="Oval 53"/>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3CA6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0E5CF2D" id="Oval 53" o:spid="_x0000_s1026" style="position:absolute;margin-left:160.2pt;margin-top:79.75pt;width:5pt;height:5pt;z-index:-25152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" fillcolor="#3ca648"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7342" behindDoc="1" locked="0" layoutInCell="1" allowOverlap="1" wp14:anchorId="29B37F87" wp14:editId="66301B08">
                <wp:simplePos x="0" y="0"/>
                <wp:positionH relativeFrom="column">
                  <wp:posOffset>1479550</wp:posOffset>
                </wp:positionH>
                <wp:positionV relativeFrom="paragraph">
                  <wp:posOffset>852170</wp:posOffset>
                </wp:positionV>
                <wp:extent cx="63500" cy="63500"/>
                <wp:effectExtent l="0" t="0" r="0" b="0"/>
                <wp:wrapTight wrapText="bothSides">
                  <wp:wrapPolygon edited="0">
                    <wp:start x="0" y="0"/>
                    <wp:lineTo x="0" y="12960"/>
                    <wp:lineTo x="12960" y="12960"/>
                    <wp:lineTo x="12960" y="0"/>
                    <wp:lineTo x="0" y="0"/>
                  </wp:wrapPolygon>
                </wp:wrapTight>
                <wp:docPr id="46" name="Oval 46"/>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E679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321B444" id="Oval 46" o:spid="_x0000_s1026" style="position:absolute;margin-left:116.5pt;margin-top:67.1pt;width:5pt;height:5pt;z-index:-251529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" fillcolor="#e6792c"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3246" behindDoc="1" locked="0" layoutInCell="1" allowOverlap="1" wp14:anchorId="5E89FC90" wp14:editId="6EAB0769">
                <wp:simplePos x="0" y="0"/>
                <wp:positionH relativeFrom="column">
                  <wp:posOffset>5177790</wp:posOffset>
                </wp:positionH>
                <wp:positionV relativeFrom="paragraph">
                  <wp:posOffset>691515</wp:posOffset>
                </wp:positionV>
                <wp:extent cx="63500" cy="63500"/>
                <wp:effectExtent l="0" t="0" r="0" b="0"/>
                <wp:wrapTight wrapText="bothSides">
                  <wp:wrapPolygon edited="0">
                    <wp:start x="0" y="0"/>
                    <wp:lineTo x="0" y="12960"/>
                    <wp:lineTo x="12960" y="12960"/>
                    <wp:lineTo x="12960" y="0"/>
                    <wp:lineTo x="0" y="0"/>
                  </wp:wrapPolygon>
                </wp:wrapTight>
                <wp:docPr id="27" name="Oval 27"/>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F2C5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2878721" id="Oval 27" o:spid="_x0000_s1026" style="position:absolute;margin-left:407.7pt;margin-top:54.45pt;width:5pt;height:5pt;z-index:-251533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" fillcolor="#f2c525"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4270" behindDoc="1" locked="0" layoutInCell="1" allowOverlap="1" wp14:anchorId="324844F3" wp14:editId="1989F738">
                <wp:simplePos x="0" y="0"/>
                <wp:positionH relativeFrom="column">
                  <wp:posOffset>784860</wp:posOffset>
                </wp:positionH>
                <wp:positionV relativeFrom="paragraph">
                  <wp:posOffset>682625</wp:posOffset>
                </wp:positionV>
                <wp:extent cx="63500" cy="63500"/>
                <wp:effectExtent l="0" t="0" r="0" b="0"/>
                <wp:wrapTight wrapText="bothSides">
                  <wp:wrapPolygon edited="0">
                    <wp:start x="0" y="0"/>
                    <wp:lineTo x="0" y="12960"/>
                    <wp:lineTo x="12960" y="12960"/>
                    <wp:lineTo x="12960" y="0"/>
                    <wp:lineTo x="0" y="0"/>
                  </wp:wrapPolygon>
                </wp:wrapTight>
                <wp:docPr id="35" name="Oval 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13A3623" id="Oval 35" o:spid="_x0000_s1026" style="position:absolute;margin-left:61.8pt;margin-top:53.75pt;width:5pt;height:5pt;z-index:-251532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" fillcolor="#aeaaaa [2414]"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2222" behindDoc="1" locked="0" layoutInCell="1" allowOverlap="1" wp14:anchorId="5CDDEA1F" wp14:editId="486B8BBE">
                <wp:simplePos x="0" y="0"/>
                <wp:positionH relativeFrom="column">
                  <wp:posOffset>4078605</wp:posOffset>
                </wp:positionH>
                <wp:positionV relativeFrom="paragraph">
                  <wp:posOffset>532765</wp:posOffset>
                </wp:positionV>
                <wp:extent cx="63500" cy="63500"/>
                <wp:effectExtent l="0" t="0" r="0" b="0"/>
                <wp:wrapTight wrapText="bothSides">
                  <wp:wrapPolygon edited="0">
                    <wp:start x="0" y="0"/>
                    <wp:lineTo x="0" y="12960"/>
                    <wp:lineTo x="12960" y="12960"/>
                    <wp:lineTo x="12960" y="0"/>
                    <wp:lineTo x="0" y="0"/>
                  </wp:wrapPolygon>
                </wp:wrapTight>
                <wp:docPr id="17" name="Oval 17"/>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D421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69F7F76" id="Oval 17" o:spid="_x0000_s1026" style="position:absolute;margin-left:321.15pt;margin-top:41.95pt;width:5pt;height:5pt;z-index:-25153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" fillcolor="#d4213a" stroked="f" strokeweight="1pt">
                <v:stroke joinstyle="miter"/>
                <w10:wrap type="tight"/>
              </v:oval>
            </w:pict>
          </mc:Fallback>
        </mc:AlternateContent>
      </w: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81198" behindDoc="1" locked="0" layoutInCell="1" allowOverlap="1" wp14:anchorId="60DCC1C0" wp14:editId="1001D8C4">
                <wp:simplePos x="0" y="0"/>
                <wp:positionH relativeFrom="column">
                  <wp:posOffset>1933575</wp:posOffset>
                </wp:positionH>
                <wp:positionV relativeFrom="paragraph">
                  <wp:posOffset>530860</wp:posOffset>
                </wp:positionV>
                <wp:extent cx="63500" cy="63500"/>
                <wp:effectExtent l="0" t="0" r="0" b="0"/>
                <wp:wrapTight wrapText="bothSides">
                  <wp:wrapPolygon edited="0">
                    <wp:start x="0" y="0"/>
                    <wp:lineTo x="0" y="12960"/>
                    <wp:lineTo x="12960" y="12960"/>
                    <wp:lineTo x="12960" y="0"/>
                    <wp:lineTo x="0" y="0"/>
                  </wp:wrapPolygon>
                </wp:wrapTight>
                <wp:docPr id="12" name="Oval 12"/>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3CA6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EB7902B" id="Oval 12" o:spid="_x0000_s1026" style="position:absolute;margin-left:152.25pt;margin-top:41.8pt;width:5pt;height:5pt;z-index:-251535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" fillcolor="#3ca648" stroked="f" strokeweight="1pt">
                <v:stroke joinstyle="miter"/>
                <w10:wrap type="tight"/>
              </v:oval>
            </w:pict>
          </mc:Fallback>
        </mc:AlternateContent>
      </w:r>
      <w:r w:rsidRPr="003C206F">
        <w:rPr>
          <w:rFonts w:ascii="Roboto" w:hAnsi="Roboto" w:cs="Calibri"/>
          <w:color w:val="404040" w:themeColor="text1" w:themeTint="BF"/>
          <w:sz w:val="21"/>
          <w:szCs w:val="21"/>
          <w:lang w:val="en-GB"/>
        </w:rPr>
        <w:t xml:space="preserve">The following section builds on the structure of the four Strategic Priority Areas and lists their achievement status by SDG/SDR indicator. Fifty-eight of the 92 SDG/SDR indicators measured in the KSA correspond to the three categories of SDG/SDR indicators most relevant to the UNSDCF: those that have been </w:t>
      </w:r>
      <w:proofErr w:type="gramStart"/>
      <w:r w:rsidRPr="008029E6">
        <w:rPr>
          <w:rFonts w:ascii="Roboto" w:hAnsi="Roboto" w:cs="Calibri"/>
          <w:b/>
          <w:color w:val="00B050"/>
          <w:sz w:val="21"/>
          <w:szCs w:val="21"/>
          <w:lang w:val="en-GB"/>
        </w:rPr>
        <w:t>Achieved</w:t>
      </w:r>
      <w:r w:rsidRPr="008029E6">
        <w:rPr>
          <w:rFonts w:ascii="Roboto" w:hAnsi="Roboto" w:cs="Calibri"/>
          <w:color w:val="00B050"/>
          <w:sz w:val="21"/>
          <w:szCs w:val="21"/>
          <w:lang w:val="en-GB"/>
        </w:rPr>
        <w:t xml:space="preserve"> </w:t>
      </w:r>
      <w:r w:rsidRPr="003C206F">
        <w:rPr>
          <w:rFonts w:ascii="Roboto" w:hAnsi="Roboto" w:cs="Calibri"/>
          <w:color w:val="404040" w:themeColor="text1" w:themeTint="BF"/>
          <w:sz w:val="21"/>
          <w:szCs w:val="21"/>
          <w:lang w:val="en-GB"/>
        </w:rPr>
        <w:t>,</w:t>
      </w:r>
      <w:proofErr w:type="gramEnd"/>
      <w:r w:rsidRPr="003C206F">
        <w:rPr>
          <w:rFonts w:ascii="Roboto" w:hAnsi="Roboto" w:cs="Calibri"/>
          <w:color w:val="404040" w:themeColor="text1" w:themeTint="BF"/>
          <w:sz w:val="21"/>
          <w:szCs w:val="21"/>
          <w:lang w:val="en-GB"/>
        </w:rPr>
        <w:t xml:space="preserve"> those facing </w:t>
      </w:r>
      <w:r w:rsidRPr="008029E6">
        <w:rPr>
          <w:rFonts w:ascii="Roboto" w:hAnsi="Roboto" w:cs="Calibri"/>
          <w:b/>
          <w:color w:val="FF0000"/>
          <w:sz w:val="21"/>
          <w:szCs w:val="21"/>
          <w:lang w:val="en-GB"/>
        </w:rPr>
        <w:t xml:space="preserve">Major Challenges </w:t>
      </w:r>
      <w:r w:rsidRPr="003C206F">
        <w:rPr>
          <w:rFonts w:ascii="Roboto" w:hAnsi="Roboto" w:cs="Calibri"/>
          <w:color w:val="404040" w:themeColor="text1" w:themeTint="BF"/>
          <w:sz w:val="21"/>
          <w:szCs w:val="21"/>
          <w:lang w:val="en-GB"/>
        </w:rPr>
        <w:t xml:space="preserve">,and those with </w:t>
      </w:r>
      <w:r w:rsidRPr="008029E6">
        <w:rPr>
          <w:rFonts w:ascii="Roboto" w:hAnsi="Roboto" w:cs="Calibri"/>
          <w:b/>
          <w:color w:val="AEAAAA" w:themeColor="background2" w:themeShade="BF"/>
          <w:sz w:val="21"/>
          <w:szCs w:val="21"/>
          <w:lang w:val="en-GB"/>
        </w:rPr>
        <w:t>Data Availability</w:t>
      </w:r>
      <w:r w:rsidRPr="003C206F">
        <w:rPr>
          <w:rFonts w:ascii="Roboto" w:hAnsi="Roboto" w:cs="Calibri"/>
          <w:b/>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issues; the remaining 34 SDG/SDR indicators face either </w:t>
      </w:r>
      <w:r w:rsidRPr="008029E6">
        <w:rPr>
          <w:rFonts w:ascii="Roboto" w:hAnsi="Roboto" w:cs="Calibri"/>
          <w:b/>
          <w:color w:val="FFC000" w:themeColor="accent4"/>
          <w:sz w:val="21"/>
          <w:szCs w:val="21"/>
          <w:lang w:val="en-GB"/>
        </w:rPr>
        <w:t>Challenges</w:t>
      </w:r>
      <w:r w:rsidRPr="008029E6">
        <w:rPr>
          <w:rFonts w:ascii="Roboto" w:hAnsi="Roboto" w:cs="Calibri"/>
          <w:color w:val="FFC000" w:themeColor="accent4"/>
          <w:sz w:val="21"/>
          <w:szCs w:val="21"/>
          <w:lang w:val="en-GB"/>
        </w:rPr>
        <w:t xml:space="preserve">  </w:t>
      </w:r>
      <w:r w:rsidRPr="003C206F">
        <w:rPr>
          <w:rFonts w:ascii="Roboto" w:hAnsi="Roboto" w:cs="Calibri"/>
          <w:color w:val="404040" w:themeColor="text1" w:themeTint="BF"/>
          <w:sz w:val="21"/>
          <w:szCs w:val="21"/>
          <w:lang w:val="en-GB"/>
        </w:rPr>
        <w:t xml:space="preserve">or </w:t>
      </w:r>
      <w:r w:rsidRPr="008029E6">
        <w:rPr>
          <w:rFonts w:ascii="Roboto" w:hAnsi="Roboto" w:cs="Calibri"/>
          <w:b/>
          <w:color w:val="ED7D31" w:themeColor="accent2"/>
          <w:sz w:val="21"/>
          <w:szCs w:val="21"/>
          <w:lang w:val="en-GB"/>
        </w:rPr>
        <w:t>Significant Challenges</w:t>
      </w:r>
      <w:r w:rsidRPr="008029E6">
        <w:rPr>
          <w:rFonts w:ascii="Roboto" w:hAnsi="Roboto" w:cs="Calibri"/>
          <w:color w:val="ED7D31" w:themeColor="accent2"/>
          <w:sz w:val="21"/>
          <w:szCs w:val="21"/>
          <w:lang w:val="en-GB"/>
        </w:rPr>
        <w:t xml:space="preserve"> </w:t>
      </w:r>
      <w:r w:rsidRPr="003C206F">
        <w:rPr>
          <w:rFonts w:ascii="Roboto" w:hAnsi="Roboto" w:cs="Calibri"/>
          <w:color w:val="404040" w:themeColor="text1" w:themeTint="BF"/>
          <w:sz w:val="21"/>
          <w:szCs w:val="21"/>
          <w:lang w:val="en-GB"/>
        </w:rPr>
        <w:t xml:space="preserve">and will not be elaborated upon here. The first subsection below, SDG/SDR Indicators – </w:t>
      </w:r>
      <w:proofErr w:type="gramStart"/>
      <w:r w:rsidRPr="008029E6">
        <w:rPr>
          <w:rFonts w:ascii="Roboto" w:hAnsi="Roboto" w:cs="Calibri"/>
          <w:b/>
          <w:color w:val="00B050"/>
          <w:sz w:val="21"/>
          <w:szCs w:val="21"/>
          <w:lang w:val="en-GB"/>
        </w:rPr>
        <w:t xml:space="preserve">Achieved </w:t>
      </w:r>
      <w:r w:rsidRPr="003C206F">
        <w:rPr>
          <w:rFonts w:ascii="Roboto" w:hAnsi="Roboto" w:cs="Calibri"/>
          <w:color w:val="404040" w:themeColor="text1" w:themeTint="BF"/>
          <w:sz w:val="21"/>
          <w:szCs w:val="21"/>
          <w:lang w:val="en-GB"/>
        </w:rPr>
        <w:t>,</w:t>
      </w:r>
      <w:proofErr w:type="gramEnd"/>
      <w:r w:rsidRPr="003C206F">
        <w:rPr>
          <w:rFonts w:ascii="Roboto" w:hAnsi="Roboto" w:cs="Calibri"/>
          <w:color w:val="404040" w:themeColor="text1" w:themeTint="BF"/>
          <w:sz w:val="21"/>
          <w:szCs w:val="21"/>
          <w:lang w:val="en-GB"/>
        </w:rPr>
        <w:t xml:space="preserve"> lists the SDG/SDR indicators that have been achieved as of 2021. The second subsection, SDG/SDR Indicators – </w:t>
      </w:r>
      <w:r w:rsidRPr="008029E6">
        <w:rPr>
          <w:rFonts w:ascii="Roboto" w:hAnsi="Roboto" w:cs="Calibri"/>
          <w:b/>
          <w:color w:val="FF0000"/>
          <w:sz w:val="21"/>
          <w:szCs w:val="21"/>
          <w:lang w:val="en-GB"/>
        </w:rPr>
        <w:t xml:space="preserve">Major </w:t>
      </w:r>
      <w:proofErr w:type="gramStart"/>
      <w:r w:rsidRPr="008029E6">
        <w:rPr>
          <w:rFonts w:ascii="Roboto" w:hAnsi="Roboto" w:cs="Calibri"/>
          <w:b/>
          <w:color w:val="FF0000"/>
          <w:sz w:val="21"/>
          <w:szCs w:val="21"/>
          <w:lang w:val="en-GB"/>
        </w:rPr>
        <w:t xml:space="preserve">Challenges </w:t>
      </w:r>
      <w:r w:rsidRPr="003C206F">
        <w:rPr>
          <w:rFonts w:ascii="Roboto" w:hAnsi="Roboto" w:cs="Calibri"/>
          <w:color w:val="404040" w:themeColor="text1" w:themeTint="BF"/>
          <w:sz w:val="21"/>
          <w:szCs w:val="21"/>
          <w:lang w:val="en-GB"/>
        </w:rPr>
        <w:t>,</w:t>
      </w:r>
      <w:proofErr w:type="gramEnd"/>
      <w:r w:rsidRPr="003C206F">
        <w:rPr>
          <w:rFonts w:ascii="Roboto" w:hAnsi="Roboto" w:cs="Calibri"/>
          <w:color w:val="404040" w:themeColor="text1" w:themeTint="BF"/>
          <w:sz w:val="21"/>
          <w:szCs w:val="21"/>
          <w:lang w:val="en-GB"/>
        </w:rPr>
        <w:t xml:space="preserve"> lists the SDG/SDR indicators that face major challenges to their realization as of 2021, inhibiting the corresponding potential for SDG achievement by 2030. The third subsection, SDG/SDR Indicators – </w:t>
      </w:r>
      <w:r w:rsidRPr="008029E6">
        <w:rPr>
          <w:rFonts w:ascii="Roboto" w:hAnsi="Roboto" w:cs="Calibri"/>
          <w:b/>
          <w:color w:val="AEAAAA" w:themeColor="background2" w:themeShade="BF"/>
          <w:sz w:val="21"/>
          <w:szCs w:val="21"/>
          <w:lang w:val="en-GB"/>
        </w:rPr>
        <w:t xml:space="preserve">Data </w:t>
      </w:r>
      <w:proofErr w:type="gramStart"/>
      <w:r w:rsidRPr="008029E6">
        <w:rPr>
          <w:rFonts w:ascii="Roboto" w:hAnsi="Roboto" w:cs="Calibri"/>
          <w:b/>
          <w:color w:val="AEAAAA" w:themeColor="background2" w:themeShade="BF"/>
          <w:sz w:val="21"/>
          <w:szCs w:val="21"/>
          <w:lang w:val="en-GB"/>
        </w:rPr>
        <w:t xml:space="preserve">Availability </w:t>
      </w:r>
      <w:r w:rsidRPr="003C206F">
        <w:rPr>
          <w:rFonts w:ascii="Roboto" w:hAnsi="Roboto" w:cs="Calibri"/>
          <w:color w:val="404040" w:themeColor="text1" w:themeTint="BF"/>
          <w:sz w:val="21"/>
          <w:szCs w:val="21"/>
          <w:lang w:val="en-GB"/>
        </w:rPr>
        <w:t>,</w:t>
      </w:r>
      <w:proofErr w:type="gramEnd"/>
      <w:r w:rsidRPr="003C206F">
        <w:rPr>
          <w:rFonts w:ascii="Roboto" w:hAnsi="Roboto" w:cs="Calibri"/>
          <w:color w:val="404040" w:themeColor="text1" w:themeTint="BF"/>
          <w:sz w:val="21"/>
          <w:szCs w:val="21"/>
          <w:lang w:val="en-GB"/>
        </w:rPr>
        <w:t xml:space="preserve"> lists the SDG/SDR indicators for which there is no available data as of 2021. The inclusion of such missing indicators has the potential to improve the KSA’s performance in up to eight SDGs.</w:t>
      </w:r>
      <w:r>
        <w:rPr>
          <w:rFonts w:ascii="Roboto" w:hAnsi="Roboto" w:cs="Calibri"/>
          <w:color w:val="404040" w:themeColor="text1" w:themeTint="BF"/>
          <w:sz w:val="21"/>
          <w:szCs w:val="21"/>
          <w:lang w:val="en-GB"/>
        </w:rPr>
        <w:t xml:space="preserve"> The classification of SDG/SDR indicators as being </w:t>
      </w:r>
      <w:r w:rsidRPr="008029E6">
        <w:rPr>
          <w:rFonts w:ascii="Roboto" w:hAnsi="Roboto" w:cs="Calibri"/>
          <w:b/>
          <w:color w:val="00B050"/>
          <w:sz w:val="21"/>
          <w:szCs w:val="21"/>
          <w:lang w:val="en-GB"/>
        </w:rPr>
        <w:t>Achieved</w:t>
      </w:r>
      <w:r w:rsidRPr="00D30F5F">
        <w:rPr>
          <w:rFonts w:ascii="Roboto" w:hAnsi="Roboto" w:cs="Calibri"/>
          <w:bCs/>
          <w:color w:val="404040" w:themeColor="text1" w:themeTint="BF"/>
          <w:sz w:val="21"/>
          <w:szCs w:val="21"/>
          <w:lang w:val="en-GB"/>
        </w:rPr>
        <w:t xml:space="preserve">, </w:t>
      </w:r>
      <w:r w:rsidRPr="008029E6">
        <w:rPr>
          <w:rFonts w:ascii="Roboto" w:hAnsi="Roboto" w:cs="Calibri"/>
          <w:b/>
          <w:color w:val="FFC000" w:themeColor="accent4"/>
          <w:sz w:val="21"/>
          <w:szCs w:val="21"/>
          <w:lang w:val="en-GB"/>
        </w:rPr>
        <w:t>Challenges</w:t>
      </w:r>
      <w:r w:rsidRPr="00D30F5F">
        <w:rPr>
          <w:rFonts w:ascii="Roboto" w:hAnsi="Roboto" w:cs="Calibri"/>
          <w:bCs/>
          <w:color w:val="404040" w:themeColor="text1" w:themeTint="BF"/>
          <w:sz w:val="21"/>
          <w:szCs w:val="21"/>
          <w:lang w:val="en-GB"/>
        </w:rPr>
        <w:t>,</w:t>
      </w:r>
      <w:r>
        <w:rPr>
          <w:rFonts w:ascii="Roboto" w:hAnsi="Roboto" w:cs="Calibri"/>
          <w:b/>
          <w:sz w:val="21"/>
          <w:szCs w:val="21"/>
          <w:lang w:val="en-GB"/>
        </w:rPr>
        <w:t xml:space="preserve"> </w:t>
      </w:r>
      <w:r w:rsidRPr="008029E6">
        <w:rPr>
          <w:rFonts w:ascii="Roboto" w:hAnsi="Roboto" w:cs="Calibri"/>
          <w:b/>
          <w:color w:val="ED7D31" w:themeColor="accent2"/>
          <w:sz w:val="21"/>
          <w:szCs w:val="21"/>
          <w:lang w:val="en-GB"/>
        </w:rPr>
        <w:t>Significant Challenges</w:t>
      </w:r>
      <w:r w:rsidRPr="00D30F5F">
        <w:rPr>
          <w:rFonts w:ascii="Roboto" w:hAnsi="Roboto" w:cs="Calibri"/>
          <w:bCs/>
          <w:color w:val="404040" w:themeColor="text1" w:themeTint="BF"/>
          <w:sz w:val="21"/>
          <w:szCs w:val="21"/>
          <w:lang w:val="en-GB"/>
        </w:rPr>
        <w:t>,</w:t>
      </w:r>
      <w:r>
        <w:rPr>
          <w:rFonts w:ascii="Roboto" w:hAnsi="Roboto" w:cs="Calibri"/>
          <w:b/>
          <w:sz w:val="21"/>
          <w:szCs w:val="21"/>
          <w:lang w:val="en-GB"/>
        </w:rPr>
        <w:t xml:space="preserve"> </w:t>
      </w:r>
      <w:r w:rsidRPr="008029E6">
        <w:rPr>
          <w:rFonts w:ascii="Roboto" w:hAnsi="Roboto" w:cs="Calibri"/>
          <w:b/>
          <w:color w:val="FF0000"/>
          <w:sz w:val="21"/>
          <w:szCs w:val="21"/>
          <w:lang w:val="en-GB"/>
        </w:rPr>
        <w:t>Major Challenges</w:t>
      </w:r>
      <w:r w:rsidRPr="00D30F5F">
        <w:rPr>
          <w:rFonts w:ascii="Roboto" w:hAnsi="Roboto" w:cs="Calibri"/>
          <w:bCs/>
          <w:color w:val="404040" w:themeColor="text1" w:themeTint="BF"/>
          <w:sz w:val="21"/>
          <w:szCs w:val="21"/>
          <w:lang w:val="en-GB"/>
        </w:rPr>
        <w:t xml:space="preserve">, </w:t>
      </w:r>
      <w:r>
        <w:rPr>
          <w:rFonts w:ascii="Roboto" w:hAnsi="Roboto" w:cs="Calibri"/>
          <w:bCs/>
          <w:color w:val="404040" w:themeColor="text1" w:themeTint="BF"/>
          <w:sz w:val="21"/>
          <w:szCs w:val="21"/>
          <w:lang w:val="en-GB"/>
        </w:rPr>
        <w:t>or</w:t>
      </w:r>
      <w:r w:rsidRPr="00D30F5F">
        <w:rPr>
          <w:rFonts w:ascii="Roboto" w:hAnsi="Roboto" w:cs="Calibri"/>
          <w:b/>
          <w:color w:val="404040" w:themeColor="text1" w:themeTint="BF"/>
          <w:sz w:val="21"/>
          <w:szCs w:val="21"/>
          <w:lang w:val="en-GB"/>
        </w:rPr>
        <w:t xml:space="preserve"> </w:t>
      </w:r>
      <w:r w:rsidRPr="008029E6">
        <w:rPr>
          <w:rFonts w:ascii="Roboto" w:hAnsi="Roboto" w:cs="Calibri"/>
          <w:b/>
          <w:color w:val="AEAAAA" w:themeColor="background2" w:themeShade="BF"/>
          <w:sz w:val="21"/>
          <w:szCs w:val="21"/>
          <w:lang w:val="en-GB"/>
        </w:rPr>
        <w:t>Data Availability</w:t>
      </w:r>
      <w:r>
        <w:rPr>
          <w:rFonts w:ascii="Roboto" w:hAnsi="Roboto" w:cs="Calibri"/>
          <w:b/>
          <w:color w:val="AEAAAA" w:themeColor="background2" w:themeShade="BF"/>
          <w:sz w:val="21"/>
          <w:szCs w:val="21"/>
          <w:lang w:val="en-GB"/>
        </w:rPr>
        <w:t xml:space="preserve"> </w:t>
      </w:r>
      <w:r>
        <w:rPr>
          <w:rFonts w:ascii="Roboto" w:hAnsi="Roboto" w:cs="Calibri"/>
          <w:bCs/>
          <w:color w:val="404040" w:themeColor="text1" w:themeTint="BF"/>
          <w:sz w:val="21"/>
          <w:szCs w:val="21"/>
          <w:lang w:val="en-GB"/>
        </w:rPr>
        <w:t>is directly from the SDR.</w:t>
      </w:r>
    </w:p>
    <w:p w14:paraId="1E393C2D" w14:textId="254AC664" w:rsidR="003C253C" w:rsidRDefault="003C253C" w:rsidP="00893DE2">
      <w:pPr>
        <w:jc w:val="both"/>
        <w:rPr>
          <w:rFonts w:ascii="Roboto" w:hAnsi="Roboto" w:cs="Calibri"/>
          <w:color w:val="404040" w:themeColor="text1" w:themeTint="BF"/>
          <w:sz w:val="21"/>
          <w:szCs w:val="21"/>
          <w:lang w:val="en-GB"/>
        </w:rPr>
      </w:pPr>
    </w:p>
    <w:p w14:paraId="40A9C092" w14:textId="77777777" w:rsidR="002D6AB9" w:rsidRPr="003C206F" w:rsidRDefault="002D6AB9" w:rsidP="00893DE2">
      <w:pPr>
        <w:jc w:val="both"/>
        <w:rPr>
          <w:rFonts w:ascii="Roboto" w:hAnsi="Roboto" w:cs="Calibri"/>
          <w:color w:val="404040" w:themeColor="text1" w:themeTint="BF"/>
          <w:sz w:val="21"/>
          <w:szCs w:val="21"/>
          <w:lang w:val="en-GB"/>
        </w:rPr>
      </w:pPr>
    </w:p>
    <w:p w14:paraId="6906FB04" w14:textId="5C9F00BC" w:rsidR="00871C7A" w:rsidRPr="003C206F" w:rsidRDefault="00871C7A" w:rsidP="00893DE2">
      <w:pPr>
        <w:jc w:val="both"/>
        <w:rPr>
          <w:rFonts w:ascii="Roboto" w:hAnsi="Roboto"/>
          <w:b/>
          <w:color w:val="404040" w:themeColor="text1" w:themeTint="BF"/>
          <w:sz w:val="21"/>
          <w:szCs w:val="21"/>
          <w:lang w:val="en-GB"/>
        </w:rPr>
      </w:pP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37166" behindDoc="1" locked="0" layoutInCell="1" allowOverlap="1" wp14:anchorId="2D083223" wp14:editId="27790C5F">
                <wp:simplePos x="0" y="0"/>
                <wp:positionH relativeFrom="column">
                  <wp:posOffset>1444646</wp:posOffset>
                </wp:positionH>
                <wp:positionV relativeFrom="paragraph">
                  <wp:posOffset>48260</wp:posOffset>
                </wp:positionV>
                <wp:extent cx="63500" cy="63500"/>
                <wp:effectExtent l="0" t="0" r="0" b="0"/>
                <wp:wrapTight wrapText="bothSides">
                  <wp:wrapPolygon edited="0">
                    <wp:start x="0" y="0"/>
                    <wp:lineTo x="0" y="17280"/>
                    <wp:lineTo x="17280" y="17280"/>
                    <wp:lineTo x="17280" y="0"/>
                    <wp:lineTo x="0" y="0"/>
                  </wp:wrapPolygon>
                </wp:wrapTight>
                <wp:docPr id="54" name="Oval 54"/>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3CA6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6035075" id="Oval 54" o:spid="_x0000_s1026" style="position:absolute;margin-left:113.75pt;margin-top:3.8pt;width:5pt;height:5pt;z-index:-25157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" fillcolor="#3ca648" stroked="f" strokeweight="1pt">
                <v:stroke joinstyle="miter"/>
                <w10:wrap type="tight"/>
              </v:oval>
            </w:pict>
          </mc:Fallback>
        </mc:AlternateContent>
      </w:r>
      <w:r w:rsidRPr="003C206F">
        <w:rPr>
          <w:rFonts w:ascii="Roboto" w:hAnsi="Roboto"/>
          <w:b/>
          <w:color w:val="404040" w:themeColor="text1" w:themeTint="BF"/>
          <w:sz w:val="21"/>
          <w:szCs w:val="21"/>
          <w:lang w:val="en-GB"/>
        </w:rPr>
        <w:t xml:space="preserve">SDG/SDR Indicators – </w:t>
      </w:r>
      <w:proofErr w:type="gramStart"/>
      <w:r w:rsidR="00812941" w:rsidRPr="008029E6">
        <w:rPr>
          <w:rFonts w:ascii="Roboto" w:hAnsi="Roboto"/>
          <w:b/>
          <w:color w:val="00B050"/>
          <w:sz w:val="21"/>
          <w:szCs w:val="21"/>
          <w:lang w:val="en-GB"/>
        </w:rPr>
        <w:t xml:space="preserve">Achieved  </w:t>
      </w:r>
      <w:r w:rsidRPr="003C206F">
        <w:rPr>
          <w:rFonts w:ascii="Roboto" w:hAnsi="Roboto"/>
          <w:b/>
          <w:color w:val="404040" w:themeColor="text1" w:themeTint="BF"/>
          <w:sz w:val="21"/>
          <w:szCs w:val="21"/>
          <w:lang w:val="en-GB"/>
        </w:rPr>
        <w:t>28</w:t>
      </w:r>
      <w:proofErr w:type="gramEnd"/>
      <w:r w:rsidRPr="003C206F">
        <w:rPr>
          <w:rFonts w:ascii="Roboto" w:hAnsi="Roboto"/>
          <w:b/>
          <w:color w:val="404040" w:themeColor="text1" w:themeTint="BF"/>
          <w:sz w:val="21"/>
          <w:szCs w:val="21"/>
          <w:lang w:val="en-GB"/>
        </w:rPr>
        <w:t xml:space="preserve"> of 92:</w:t>
      </w:r>
    </w:p>
    <w:p w14:paraId="176C14BA" w14:textId="77777777" w:rsidR="003C253C" w:rsidRPr="003C206F" w:rsidRDefault="003C253C" w:rsidP="00893DE2">
      <w:pPr>
        <w:jc w:val="both"/>
        <w:rPr>
          <w:rFonts w:ascii="Roboto" w:hAnsi="Roboto"/>
          <w:b/>
          <w:bCs/>
          <w:color w:val="404040" w:themeColor="text1" w:themeTint="BF"/>
          <w:sz w:val="21"/>
          <w:szCs w:val="21"/>
          <w:u w:val="single"/>
          <w:lang w:val="en-GB"/>
        </w:rPr>
      </w:pPr>
    </w:p>
    <w:tbl>
      <w:tblPr>
        <w:tblStyle w:val="TableGrid"/>
        <w:tblW w:w="0" w:type="auto"/>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69"/>
        <w:gridCol w:w="8497"/>
      </w:tblGrid>
      <w:tr w:rsidR="00871C7A" w:rsidRPr="003C206F" w14:paraId="7441DEA1" w14:textId="77777777" w:rsidTr="00F25C36">
        <w:trPr>
          <w:trHeight w:val="288"/>
        </w:trPr>
        <w:tc>
          <w:tcPr>
            <w:tcW w:w="420" w:type="dxa"/>
            <w:shd w:val="clear" w:color="auto" w:fill="26BDE2"/>
            <w:vAlign w:val="center"/>
          </w:tcPr>
          <w:p w14:paraId="384CCAA6"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1</w:t>
            </w:r>
          </w:p>
        </w:tc>
        <w:tc>
          <w:tcPr>
            <w:tcW w:w="9260" w:type="dxa"/>
          </w:tcPr>
          <w:p w14:paraId="750707D6"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1: People (SDGs 1–5)</w:t>
            </w:r>
          </w:p>
          <w:p w14:paraId="29C48C2A" w14:textId="5D086021"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1"/>
                <w:szCs w:val="21"/>
                <w:lang w:val="en-GB"/>
              </w:rPr>
            </w:pPr>
            <w:r w:rsidRPr="003C206F">
              <w:rPr>
                <w:rFonts w:ascii="Roboto" w:hAnsi="Roboto"/>
                <w:color w:val="404040" w:themeColor="text1" w:themeTint="BF"/>
                <w:sz w:val="21"/>
                <w:szCs w:val="21"/>
                <w:lang w:val="en-GB"/>
              </w:rPr>
              <w:t xml:space="preserve">The achievement of SDG/SDR indicators that correspond to SDG/SDR 1 indicators is indeterminate due to a lack of data availability. The SDG/SDR 2 indicators </w:t>
            </w:r>
            <w:r w:rsidRPr="003C206F">
              <w:rPr>
                <w:rFonts w:ascii="Roboto" w:hAnsi="Roboto"/>
                <w:i/>
                <w:color w:val="404040" w:themeColor="text1" w:themeTint="BF"/>
                <w:sz w:val="21"/>
                <w:szCs w:val="21"/>
                <w:lang w:val="en-GB"/>
              </w:rPr>
              <w:t>prevalence of undernourishment</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cereal yield</w:t>
            </w:r>
            <w:r w:rsidRPr="003C206F">
              <w:rPr>
                <w:rFonts w:ascii="Roboto" w:hAnsi="Roboto"/>
                <w:color w:val="404040" w:themeColor="text1" w:themeTint="BF"/>
                <w:sz w:val="21"/>
                <w:szCs w:val="21"/>
                <w:lang w:val="en-GB"/>
              </w:rPr>
              <w:t xml:space="preserve"> have been achieved. The SDG/SDR 3 </w:t>
            </w:r>
            <w:r w:rsidRPr="007C5305">
              <w:rPr>
                <w:rFonts w:ascii="Roboto" w:hAnsi="Roboto"/>
                <w:iCs/>
                <w:color w:val="404040" w:themeColor="text1" w:themeTint="BF"/>
                <w:sz w:val="21"/>
                <w:szCs w:val="21"/>
                <w:lang w:val="en-GB"/>
              </w:rPr>
              <w:t>indicators</w:t>
            </w:r>
            <w:r w:rsidRPr="003C206F">
              <w:rPr>
                <w:rFonts w:ascii="Roboto" w:hAnsi="Roboto"/>
                <w:i/>
                <w:color w:val="404040" w:themeColor="text1" w:themeTint="BF"/>
                <w:sz w:val="21"/>
                <w:szCs w:val="21"/>
                <w:lang w:val="en-GB"/>
              </w:rPr>
              <w:t xml:space="preserve"> maternal mortality rate</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neonatal mortality rate</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mortality rate</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under-five mortality rate</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incidence of tuberculosis</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adolescent fertility rate</w:t>
            </w:r>
            <w:r w:rsidRPr="003C206F">
              <w:rPr>
                <w:rFonts w:ascii="Roboto" w:hAnsi="Roboto"/>
                <w:color w:val="404040" w:themeColor="text1" w:themeTint="BF"/>
                <w:sz w:val="21"/>
                <w:szCs w:val="21"/>
                <w:lang w:val="en-GB"/>
              </w:rPr>
              <w:t xml:space="preserve">, </w:t>
            </w:r>
            <w:r w:rsidRPr="007C5305">
              <w:rPr>
                <w:rFonts w:ascii="Roboto" w:hAnsi="Roboto"/>
                <w:i/>
                <w:iCs/>
                <w:color w:val="404040" w:themeColor="text1" w:themeTint="BF"/>
                <w:sz w:val="21"/>
                <w:szCs w:val="21"/>
                <w:lang w:val="en-GB"/>
              </w:rPr>
              <w:t>bi</w:t>
            </w:r>
            <w:r w:rsidRPr="003C206F">
              <w:rPr>
                <w:rFonts w:ascii="Roboto" w:hAnsi="Roboto"/>
                <w:i/>
                <w:color w:val="404040" w:themeColor="text1" w:themeTint="BF"/>
                <w:sz w:val="21"/>
                <w:szCs w:val="21"/>
                <w:lang w:val="en-GB"/>
              </w:rPr>
              <w:t>rths attended by skilled health personnel</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surviving infants who received two WHO-recommended vaccines</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subjective well-being</w:t>
            </w:r>
            <w:r w:rsidRPr="003C206F">
              <w:rPr>
                <w:rFonts w:ascii="Roboto" w:hAnsi="Roboto"/>
                <w:color w:val="404040" w:themeColor="text1" w:themeTint="BF"/>
                <w:sz w:val="21"/>
                <w:szCs w:val="21"/>
                <w:lang w:val="en-GB"/>
              </w:rPr>
              <w:t xml:space="preserve"> have been achieved. The SDG/SDR 4 indicators </w:t>
            </w:r>
            <w:r w:rsidRPr="003C206F">
              <w:rPr>
                <w:rFonts w:ascii="Roboto" w:hAnsi="Roboto"/>
                <w:i/>
                <w:color w:val="404040" w:themeColor="text1" w:themeTint="BF"/>
                <w:sz w:val="21"/>
                <w:szCs w:val="21"/>
                <w:lang w:val="en-GB"/>
              </w:rPr>
              <w:t>net primary enrolment rate</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lower secondary completion rate</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literacy rate</w:t>
            </w:r>
            <w:r w:rsidRPr="003C206F">
              <w:rPr>
                <w:rFonts w:ascii="Roboto" w:hAnsi="Roboto"/>
                <w:color w:val="404040" w:themeColor="text1" w:themeTint="BF"/>
                <w:sz w:val="21"/>
                <w:szCs w:val="21"/>
                <w:lang w:val="en-GB"/>
              </w:rPr>
              <w:t xml:space="preserve"> have been achieved. No SDG/SDR 5 indicators have been </w:t>
            </w:r>
            <w:r>
              <w:rPr>
                <w:rFonts w:ascii="Roboto" w:hAnsi="Roboto"/>
                <w:color w:val="404040" w:themeColor="text1" w:themeTint="BF"/>
                <w:sz w:val="21"/>
                <w:szCs w:val="21"/>
                <w:lang w:val="en-GB"/>
              </w:rPr>
              <w:t xml:space="preserve">reported in the data as </w:t>
            </w:r>
            <w:r w:rsidRPr="003C206F">
              <w:rPr>
                <w:rFonts w:ascii="Roboto" w:hAnsi="Roboto"/>
                <w:color w:val="404040" w:themeColor="text1" w:themeTint="BF"/>
                <w:sz w:val="21"/>
                <w:szCs w:val="21"/>
                <w:lang w:val="en-GB"/>
              </w:rPr>
              <w:t>achieved as of 2021.</w:t>
            </w:r>
          </w:p>
        </w:tc>
      </w:tr>
    </w:tbl>
    <w:p w14:paraId="1E06A93F" w14:textId="77777777" w:rsidR="00871C7A" w:rsidRPr="003C206F" w:rsidRDefault="00871C7A" w:rsidP="008609D4">
      <w:pPr>
        <w:rPr>
          <w:rFonts w:ascii="Roboto" w:hAnsi="Roboto"/>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7"/>
      </w:tblGrid>
      <w:tr w:rsidR="00871C7A" w:rsidRPr="003C206F" w14:paraId="7E1BC80D" w14:textId="77777777" w:rsidTr="000566E0">
        <w:tc>
          <w:tcPr>
            <w:tcW w:w="420" w:type="dxa"/>
            <w:tcBorders>
              <w:top w:val="single" w:sz="24" w:space="0" w:color="FF3A21"/>
              <w:left w:val="single" w:sz="24" w:space="0" w:color="FF3A21"/>
              <w:bottom w:val="single" w:sz="24" w:space="0" w:color="FF3A21"/>
              <w:right w:val="single" w:sz="24" w:space="0" w:color="FF3A21"/>
            </w:tcBorders>
            <w:shd w:val="clear" w:color="auto" w:fill="FF3A21"/>
            <w:vAlign w:val="center"/>
          </w:tcPr>
          <w:p w14:paraId="009798F4"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2</w:t>
            </w:r>
          </w:p>
        </w:tc>
        <w:tc>
          <w:tcPr>
            <w:tcW w:w="9260" w:type="dxa"/>
            <w:tcBorders>
              <w:top w:val="single" w:sz="24" w:space="0" w:color="FF3A21"/>
              <w:left w:val="single" w:sz="24" w:space="0" w:color="FF3A21"/>
              <w:bottom w:val="single" w:sz="24" w:space="0" w:color="FF3A21"/>
              <w:right w:val="single" w:sz="24" w:space="0" w:color="FF3A21"/>
            </w:tcBorders>
          </w:tcPr>
          <w:p w14:paraId="52D36B8E"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2: Planet (SDGs 6, 12–15)</w:t>
            </w:r>
          </w:p>
          <w:p w14:paraId="13D21928" w14:textId="78AAFB63"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The SDG/SDR 6 indicators </w:t>
            </w:r>
            <w:r w:rsidRPr="003C206F">
              <w:rPr>
                <w:rFonts w:ascii="Roboto" w:hAnsi="Roboto"/>
                <w:i/>
                <w:color w:val="404040" w:themeColor="text1" w:themeTint="BF"/>
                <w:sz w:val="21"/>
                <w:szCs w:val="21"/>
                <w:lang w:val="en-GB"/>
              </w:rPr>
              <w:t>population using at least basic drinking water services</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population using at least basic sanitation services</w:t>
            </w:r>
            <w:r w:rsidRPr="003C206F">
              <w:rPr>
                <w:rFonts w:ascii="Roboto" w:hAnsi="Roboto"/>
                <w:color w:val="404040" w:themeColor="text1" w:themeTint="BF"/>
                <w:sz w:val="21"/>
                <w:szCs w:val="21"/>
                <w:lang w:val="en-GB"/>
              </w:rPr>
              <w:t xml:space="preserve"> have been achieved. No SDG/SDR 12 or SDG/SDR 13 indicators have been achieved as</w:t>
            </w:r>
            <w:r>
              <w:rPr>
                <w:rFonts w:ascii="Roboto" w:hAnsi="Roboto"/>
                <w:color w:val="404040" w:themeColor="text1" w:themeTint="BF"/>
                <w:sz w:val="21"/>
                <w:szCs w:val="21"/>
                <w:lang w:val="en-GB"/>
              </w:rPr>
              <w:t xml:space="preserve"> per available data in</w:t>
            </w:r>
            <w:r w:rsidRPr="003C206F">
              <w:rPr>
                <w:rFonts w:ascii="Roboto" w:hAnsi="Roboto"/>
                <w:color w:val="404040" w:themeColor="text1" w:themeTint="BF"/>
                <w:sz w:val="21"/>
                <w:szCs w:val="21"/>
                <w:lang w:val="en-GB"/>
              </w:rPr>
              <w:t xml:space="preserve"> 2021. The SDG/SDR 14 indicator </w:t>
            </w:r>
            <w:r w:rsidRPr="003C206F">
              <w:rPr>
                <w:rFonts w:ascii="Roboto" w:hAnsi="Roboto"/>
                <w:i/>
                <w:color w:val="404040" w:themeColor="text1" w:themeTint="BF"/>
                <w:sz w:val="21"/>
                <w:szCs w:val="21"/>
                <w:lang w:val="en-GB"/>
              </w:rPr>
              <w:t>fish caught from overexploited or collapsed stocks</w:t>
            </w:r>
            <w:r w:rsidRPr="003C206F">
              <w:rPr>
                <w:rFonts w:ascii="Roboto" w:hAnsi="Roboto"/>
                <w:color w:val="404040" w:themeColor="text1" w:themeTint="BF"/>
                <w:sz w:val="21"/>
                <w:szCs w:val="21"/>
                <w:lang w:val="en-GB"/>
              </w:rPr>
              <w:t xml:space="preserve"> and the SDG/SDR 15 indicator </w:t>
            </w:r>
            <w:r w:rsidRPr="003C206F">
              <w:rPr>
                <w:rFonts w:ascii="Roboto" w:hAnsi="Roboto"/>
                <w:i/>
                <w:color w:val="404040" w:themeColor="text1" w:themeTint="BF"/>
                <w:sz w:val="21"/>
                <w:szCs w:val="21"/>
                <w:lang w:val="en-GB"/>
              </w:rPr>
              <w:t>Red List Index of species survival</w:t>
            </w:r>
            <w:r w:rsidRPr="003C206F">
              <w:rPr>
                <w:rFonts w:ascii="Roboto" w:hAnsi="Roboto"/>
                <w:color w:val="404040" w:themeColor="text1" w:themeTint="BF"/>
                <w:sz w:val="21"/>
                <w:szCs w:val="21"/>
                <w:lang w:val="en-GB"/>
              </w:rPr>
              <w:t xml:space="preserve"> have been achieved.</w:t>
            </w:r>
          </w:p>
        </w:tc>
      </w:tr>
    </w:tbl>
    <w:p w14:paraId="0AD6A797" w14:textId="77777777" w:rsidR="00871C7A" w:rsidRPr="003C206F" w:rsidRDefault="00871C7A" w:rsidP="008609D4">
      <w:pPr>
        <w:jc w:val="both"/>
        <w:rPr>
          <w:rFonts w:ascii="Roboto" w:hAnsi="Roboto"/>
          <w:b/>
          <w:color w:val="404040" w:themeColor="text1" w:themeTint="BF"/>
          <w:sz w:val="10"/>
          <w:szCs w:val="10"/>
          <w:lang w:val="en-GB"/>
        </w:rPr>
      </w:pPr>
    </w:p>
    <w:tbl>
      <w:tblPr>
        <w:tblStyle w:val="TableGrid"/>
        <w:tblW w:w="0" w:type="auto"/>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ook w:val="04A0" w:firstRow="1" w:lastRow="0" w:firstColumn="1" w:lastColumn="0" w:noHBand="0" w:noVBand="1"/>
      </w:tblPr>
      <w:tblGrid>
        <w:gridCol w:w="469"/>
        <w:gridCol w:w="8497"/>
      </w:tblGrid>
      <w:tr w:rsidR="00871C7A" w:rsidRPr="003C206F" w14:paraId="3E2C528C" w14:textId="77777777" w:rsidTr="00F25C36">
        <w:tc>
          <w:tcPr>
            <w:tcW w:w="420" w:type="dxa"/>
            <w:shd w:val="clear" w:color="auto" w:fill="4C9F38"/>
            <w:vAlign w:val="center"/>
          </w:tcPr>
          <w:p w14:paraId="67E811E9"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3</w:t>
            </w:r>
          </w:p>
        </w:tc>
        <w:tc>
          <w:tcPr>
            <w:tcW w:w="9260" w:type="dxa"/>
          </w:tcPr>
          <w:p w14:paraId="4D04117A"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3: Prosperity (SDGs 7–11)</w:t>
            </w:r>
          </w:p>
          <w:p w14:paraId="301F5C7F" w14:textId="52D8A782"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The SDG/SDR 7 indicators </w:t>
            </w:r>
            <w:r w:rsidRPr="003C206F">
              <w:rPr>
                <w:rFonts w:ascii="Roboto" w:hAnsi="Roboto"/>
                <w:i/>
                <w:color w:val="404040" w:themeColor="text1" w:themeTint="BF"/>
                <w:sz w:val="21"/>
                <w:szCs w:val="21"/>
                <w:lang w:val="en-GB"/>
              </w:rPr>
              <w:t>population with access to electricity</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population with access to clean fuels and technology for cooking</w:t>
            </w:r>
            <w:r w:rsidRPr="003C206F">
              <w:rPr>
                <w:rFonts w:ascii="Roboto" w:hAnsi="Roboto"/>
                <w:color w:val="404040" w:themeColor="text1" w:themeTint="BF"/>
                <w:sz w:val="21"/>
                <w:szCs w:val="21"/>
                <w:lang w:val="en-GB"/>
              </w:rPr>
              <w:t xml:space="preserve"> have been achieved. No SDG/SDR 8 indicators have been achieved as of 2021. The SDG/SDR 9 indicators </w:t>
            </w:r>
            <w:r w:rsidRPr="003C206F">
              <w:rPr>
                <w:rFonts w:ascii="Roboto" w:hAnsi="Roboto"/>
                <w:i/>
                <w:color w:val="404040" w:themeColor="text1" w:themeTint="BF"/>
                <w:sz w:val="21"/>
                <w:szCs w:val="21"/>
                <w:lang w:val="en-GB"/>
              </w:rPr>
              <w:t>population using the internet</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mobile broadband subscriptions</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Logistics Performance Index: quality of trade and transport-related infrastructure</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Times Higher Education Universities Ranking: average score of top 3 universities</w:t>
            </w:r>
            <w:r w:rsidRPr="003C206F">
              <w:rPr>
                <w:rFonts w:ascii="Roboto" w:hAnsi="Roboto"/>
                <w:color w:val="404040" w:themeColor="text1" w:themeTint="BF"/>
                <w:sz w:val="21"/>
                <w:szCs w:val="21"/>
                <w:lang w:val="en-GB"/>
              </w:rPr>
              <w:t xml:space="preserve"> have been achieved. The achievement of SDG/SDR 10 indicators is indeterminate due to a lack of data availability. No SDG/SDR 11 indicators have been achieved as of 2021</w:t>
            </w:r>
            <w:r>
              <w:rPr>
                <w:rFonts w:ascii="Roboto" w:hAnsi="Roboto"/>
                <w:color w:val="404040" w:themeColor="text1" w:themeTint="BF"/>
                <w:sz w:val="21"/>
                <w:szCs w:val="21"/>
                <w:lang w:val="en-GB"/>
              </w:rPr>
              <w:t xml:space="preserve"> as per available data</w:t>
            </w:r>
            <w:r w:rsidRPr="003C206F">
              <w:rPr>
                <w:rFonts w:ascii="Roboto" w:hAnsi="Roboto"/>
                <w:color w:val="404040" w:themeColor="text1" w:themeTint="BF"/>
                <w:sz w:val="21"/>
                <w:szCs w:val="21"/>
                <w:lang w:val="en-GB"/>
              </w:rPr>
              <w:t>.</w:t>
            </w:r>
          </w:p>
        </w:tc>
      </w:tr>
    </w:tbl>
    <w:p w14:paraId="4567999A" w14:textId="77777777" w:rsidR="00871C7A" w:rsidRPr="003C206F" w:rsidRDefault="00871C7A" w:rsidP="008609D4">
      <w:pPr>
        <w:jc w:val="both"/>
        <w:rPr>
          <w:rFonts w:ascii="Roboto" w:hAnsi="Roboto"/>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7"/>
      </w:tblGrid>
      <w:tr w:rsidR="00871C7A" w:rsidRPr="003C206F" w14:paraId="2FEDAEBF" w14:textId="77777777" w:rsidTr="000566E0">
        <w:tc>
          <w:tcPr>
            <w:tcW w:w="420"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327C937F"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lastRenderedPageBreak/>
              <w:t>4</w:t>
            </w:r>
          </w:p>
        </w:tc>
        <w:tc>
          <w:tcPr>
            <w:tcW w:w="9260" w:type="dxa"/>
            <w:tcBorders>
              <w:top w:val="single" w:sz="24" w:space="0" w:color="FCC30B"/>
              <w:left w:val="single" w:sz="24" w:space="0" w:color="FCC30B"/>
              <w:bottom w:val="single" w:sz="24" w:space="0" w:color="FCC30B"/>
              <w:right w:val="single" w:sz="24" w:space="0" w:color="FCC30B"/>
            </w:tcBorders>
          </w:tcPr>
          <w:p w14:paraId="70332DD9"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4: Peace, Partnership, and Other Cross-Cutting Issues (SDGs 16–17)</w:t>
            </w:r>
          </w:p>
          <w:p w14:paraId="7672DF4E" w14:textId="5B36F952" w:rsidR="00871C7A" w:rsidRPr="003C206F" w:rsidRDefault="00871C7A" w:rsidP="00F25C36">
            <w:pPr>
              <w:pStyle w:val="NormalWeb"/>
              <w:spacing w:before="0" w:beforeAutospacing="0" w:after="0" w:afterAutospacing="0"/>
              <w:ind w:left="144" w:right="144"/>
              <w:jc w:val="both"/>
              <w:rPr>
                <w:rFonts w:ascii="Roboto" w:hAnsi="Roboto"/>
                <w:color w:val="404040" w:themeColor="text1" w:themeTint="BF"/>
                <w:sz w:val="22"/>
                <w:szCs w:val="22"/>
                <w:lang w:val="en-GB"/>
              </w:rPr>
            </w:pPr>
            <w:r w:rsidRPr="003C206F">
              <w:rPr>
                <w:rFonts w:ascii="Roboto" w:hAnsi="Roboto"/>
                <w:color w:val="404040" w:themeColor="text1" w:themeTint="BF"/>
                <w:sz w:val="21"/>
                <w:szCs w:val="21"/>
                <w:lang w:val="en-GB"/>
              </w:rPr>
              <w:t xml:space="preserve">The SDG/SDR 16 indicators </w:t>
            </w:r>
            <w:r w:rsidRPr="003C206F">
              <w:rPr>
                <w:rFonts w:ascii="Roboto" w:hAnsi="Roboto"/>
                <w:i/>
                <w:color w:val="404040" w:themeColor="text1" w:themeTint="BF"/>
                <w:sz w:val="21"/>
                <w:szCs w:val="21"/>
                <w:lang w:val="en-GB"/>
              </w:rPr>
              <w:t>homicides</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property rights</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exports of major conventional weapons</w:t>
            </w:r>
            <w:r w:rsidRPr="003C206F">
              <w:rPr>
                <w:rFonts w:ascii="Roboto" w:hAnsi="Roboto"/>
                <w:color w:val="404040" w:themeColor="text1" w:themeTint="BF"/>
                <w:sz w:val="21"/>
                <w:szCs w:val="21"/>
                <w:lang w:val="en-GB"/>
              </w:rPr>
              <w:t xml:space="preserve"> have been achieved. The SDG/SDR 17 indicator </w:t>
            </w:r>
            <w:r w:rsidRPr="003C206F">
              <w:rPr>
                <w:rFonts w:ascii="Roboto" w:hAnsi="Roboto"/>
                <w:i/>
                <w:color w:val="404040" w:themeColor="text1" w:themeTint="BF"/>
                <w:sz w:val="21"/>
                <w:szCs w:val="21"/>
                <w:lang w:val="en-GB"/>
              </w:rPr>
              <w:t>Corporate Tax Haven Score</w:t>
            </w:r>
            <w:r w:rsidRPr="003C206F">
              <w:rPr>
                <w:rFonts w:ascii="Roboto" w:hAnsi="Roboto"/>
                <w:color w:val="404040" w:themeColor="text1" w:themeTint="BF"/>
                <w:sz w:val="21"/>
                <w:szCs w:val="21"/>
                <w:lang w:val="en-GB"/>
              </w:rPr>
              <w:t xml:space="preserve"> has been achieved.   </w:t>
            </w:r>
          </w:p>
        </w:tc>
      </w:tr>
    </w:tbl>
    <w:p w14:paraId="1C9EF21B" w14:textId="4B4D7D80" w:rsidR="003C253C" w:rsidRDefault="003C253C" w:rsidP="00E7296C">
      <w:pPr>
        <w:jc w:val="both"/>
        <w:rPr>
          <w:rFonts w:ascii="Roboto" w:hAnsi="Roboto"/>
          <w:b/>
          <w:bCs/>
          <w:color w:val="404040" w:themeColor="text1" w:themeTint="BF"/>
          <w:sz w:val="21"/>
          <w:szCs w:val="21"/>
          <w:lang w:val="en-GB"/>
        </w:rPr>
      </w:pPr>
    </w:p>
    <w:p w14:paraId="76D476E1" w14:textId="77777777" w:rsidR="002D6AB9" w:rsidRPr="003C206F" w:rsidRDefault="002D6AB9" w:rsidP="00E7296C">
      <w:pPr>
        <w:jc w:val="both"/>
        <w:rPr>
          <w:rFonts w:ascii="Roboto" w:hAnsi="Roboto"/>
          <w:b/>
          <w:bCs/>
          <w:color w:val="404040" w:themeColor="text1" w:themeTint="BF"/>
          <w:sz w:val="21"/>
          <w:szCs w:val="21"/>
          <w:lang w:val="en-GB"/>
        </w:rPr>
      </w:pPr>
    </w:p>
    <w:p w14:paraId="7731028B" w14:textId="6BA6B9F4" w:rsidR="00871C7A" w:rsidRPr="003C206F" w:rsidRDefault="00871C7A" w:rsidP="001920F0">
      <w:pPr>
        <w:jc w:val="both"/>
        <w:rPr>
          <w:rFonts w:ascii="Roboto" w:hAnsi="Roboto"/>
          <w:b/>
          <w:color w:val="404040" w:themeColor="text1" w:themeTint="BF"/>
          <w:sz w:val="21"/>
          <w:szCs w:val="21"/>
          <w:lang w:val="en-GB"/>
        </w:rPr>
      </w:pPr>
      <w:r w:rsidRPr="003C206F">
        <w:rPr>
          <w:rFonts w:ascii="Roboto" w:hAnsi="Roboto" w:cs="Calibri"/>
          <w:noProof/>
          <w:color w:val="404040" w:themeColor="text1" w:themeTint="BF"/>
          <w:sz w:val="21"/>
          <w:szCs w:val="21"/>
          <w:lang w:val="en-GB"/>
        </w:rPr>
        <mc:AlternateContent>
          <mc:Choice Requires="wps">
            <w:drawing>
              <wp:anchor distT="0" distB="0" distL="114300" distR="114300" simplePos="0" relativeHeight="251738190" behindDoc="1" locked="0" layoutInCell="1" allowOverlap="1" wp14:anchorId="2B4843A0" wp14:editId="3CB526C1">
                <wp:simplePos x="0" y="0"/>
                <wp:positionH relativeFrom="column">
                  <wp:posOffset>1445096</wp:posOffset>
                </wp:positionH>
                <wp:positionV relativeFrom="paragraph">
                  <wp:posOffset>36687</wp:posOffset>
                </wp:positionV>
                <wp:extent cx="63500" cy="63500"/>
                <wp:effectExtent l="0" t="0" r="0" b="0"/>
                <wp:wrapTight wrapText="bothSides">
                  <wp:wrapPolygon edited="0">
                    <wp:start x="0" y="0"/>
                    <wp:lineTo x="0" y="12960"/>
                    <wp:lineTo x="12960" y="12960"/>
                    <wp:lineTo x="12960" y="0"/>
                    <wp:lineTo x="0" y="0"/>
                  </wp:wrapPolygon>
                </wp:wrapTight>
                <wp:docPr id="60" name="Oval 60"/>
                <wp:cNvGraphicFramePr/>
                <a:graphic xmlns:a="http://schemas.openxmlformats.org/drawingml/2006/main">
                  <a:graphicData uri="http://schemas.microsoft.com/office/word/2010/wordprocessingShape">
                    <wps:wsp>
                      <wps:cNvSpPr/>
                      <wps:spPr>
                        <a:xfrm>
                          <a:off x="0" y="0"/>
                          <a:ext cx="63500" cy="63500"/>
                        </a:xfrm>
                        <a:prstGeom prst="ellipse">
                          <a:avLst/>
                        </a:prstGeom>
                        <a:solidFill>
                          <a:srgbClr val="D421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732FE2F" id="Oval 60" o:spid="_x0000_s1026" style="position:absolute;margin-left:113.8pt;margin-top:2.9pt;width:5pt;height:5pt;z-index:-25157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" fillcolor="#d4213a" stroked="f" strokeweight="1pt">
                <v:stroke joinstyle="miter"/>
                <w10:wrap type="tight"/>
              </v:oval>
            </w:pict>
          </mc:Fallback>
        </mc:AlternateContent>
      </w:r>
      <w:r w:rsidRPr="003C206F">
        <w:rPr>
          <w:rFonts w:ascii="Roboto" w:hAnsi="Roboto"/>
          <w:b/>
          <w:color w:val="404040" w:themeColor="text1" w:themeTint="BF"/>
          <w:sz w:val="21"/>
          <w:szCs w:val="21"/>
          <w:lang w:val="en-GB"/>
        </w:rPr>
        <w:t xml:space="preserve">SDG/SDR Indicators – </w:t>
      </w:r>
      <w:r w:rsidR="00812941" w:rsidRPr="0093362E">
        <w:rPr>
          <w:rFonts w:ascii="Roboto" w:hAnsi="Roboto"/>
          <w:b/>
          <w:color w:val="D4213A"/>
          <w:sz w:val="21"/>
          <w:szCs w:val="21"/>
          <w:lang w:val="en-GB"/>
        </w:rPr>
        <w:t>Major Challenges</w:t>
      </w:r>
      <w:r w:rsidR="00812941" w:rsidRPr="008029E6">
        <w:rPr>
          <w:rFonts w:ascii="Roboto" w:hAnsi="Roboto"/>
          <w:b/>
          <w:color w:val="FF0000"/>
          <w:sz w:val="21"/>
          <w:szCs w:val="21"/>
          <w:lang w:val="en-GB"/>
        </w:rPr>
        <w:t xml:space="preserve"> </w:t>
      </w:r>
      <w:r w:rsidRPr="003C206F">
        <w:rPr>
          <w:rFonts w:ascii="Roboto" w:hAnsi="Roboto"/>
          <w:b/>
          <w:color w:val="404040" w:themeColor="text1" w:themeTint="BF"/>
          <w:sz w:val="21"/>
          <w:szCs w:val="21"/>
          <w:lang w:val="en-GB"/>
        </w:rPr>
        <w:t>19 of 92: </w:t>
      </w:r>
    </w:p>
    <w:p w14:paraId="4E92A1B6" w14:textId="23AB592A" w:rsidR="00871C7A" w:rsidRPr="003C206F" w:rsidRDefault="00871C7A" w:rsidP="001920F0">
      <w:pPr>
        <w:jc w:val="both"/>
        <w:rPr>
          <w:rFonts w:ascii="Roboto" w:hAnsi="Roboto"/>
          <w:b/>
          <w:bCs/>
          <w:color w:val="404040" w:themeColor="text1" w:themeTint="BF"/>
          <w:sz w:val="21"/>
          <w:szCs w:val="21"/>
          <w:lang w:val="en-GB"/>
        </w:rPr>
      </w:pPr>
    </w:p>
    <w:tbl>
      <w:tblPr>
        <w:tblStyle w:val="TableGrid"/>
        <w:tblW w:w="9029" w:type="dxa"/>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75"/>
        <w:gridCol w:w="8554"/>
      </w:tblGrid>
      <w:tr w:rsidR="00871C7A" w:rsidRPr="003C206F" w14:paraId="492A4F1F" w14:textId="77777777" w:rsidTr="0003451C">
        <w:trPr>
          <w:trHeight w:val="288"/>
        </w:trPr>
        <w:tc>
          <w:tcPr>
            <w:tcW w:w="475" w:type="dxa"/>
            <w:shd w:val="clear" w:color="auto" w:fill="26BDE2"/>
            <w:vAlign w:val="center"/>
          </w:tcPr>
          <w:p w14:paraId="6ED5E11C"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1</w:t>
            </w:r>
          </w:p>
        </w:tc>
        <w:tc>
          <w:tcPr>
            <w:tcW w:w="8554" w:type="dxa"/>
          </w:tcPr>
          <w:p w14:paraId="691FB0C8" w14:textId="77777777" w:rsidR="00871C7A" w:rsidRPr="003C206F" w:rsidRDefault="00871C7A" w:rsidP="004E6B9A">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1: People (SDGs 1–5)</w:t>
            </w:r>
          </w:p>
          <w:p w14:paraId="1E29EB08" w14:textId="61C8854B" w:rsidR="00871C7A" w:rsidRPr="003C206F" w:rsidRDefault="00871C7A" w:rsidP="004E6B9A">
            <w:pPr>
              <w:pStyle w:val="NormalWeb"/>
              <w:spacing w:before="0" w:beforeAutospacing="0" w:after="0" w:afterAutospacing="0"/>
              <w:ind w:left="144" w:right="144"/>
              <w:jc w:val="both"/>
              <w:rPr>
                <w:rFonts w:ascii="Roboto" w:hAnsi="Roboto" w:cs="Calibri"/>
                <w:color w:val="404040" w:themeColor="text1" w:themeTint="BF"/>
                <w:sz w:val="21"/>
                <w:szCs w:val="21"/>
                <w:lang w:val="en-GB"/>
              </w:rPr>
            </w:pPr>
            <w:r w:rsidRPr="003C206F">
              <w:rPr>
                <w:rFonts w:ascii="Roboto" w:hAnsi="Roboto"/>
                <w:color w:val="404040" w:themeColor="text1" w:themeTint="BF"/>
                <w:sz w:val="21"/>
                <w:szCs w:val="21"/>
                <w:lang w:val="en-GB"/>
              </w:rPr>
              <w:t xml:space="preserve">The assessment of SDG/SDR 1 indicators is indeterminate due to a lack of data availability. The SDG/SDR 2 indicators that face major challenges are </w:t>
            </w:r>
            <w:r w:rsidRPr="003C206F">
              <w:rPr>
                <w:rFonts w:ascii="Roboto" w:hAnsi="Roboto"/>
                <w:i/>
                <w:color w:val="404040" w:themeColor="text1" w:themeTint="BF"/>
                <w:sz w:val="21"/>
                <w:szCs w:val="21"/>
                <w:lang w:val="en-GB"/>
              </w:rPr>
              <w:t>prevalence of wasting in children under five years of age</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prevalence of obesity</w:t>
            </w:r>
            <w:r w:rsidRPr="003C206F">
              <w:rPr>
                <w:rFonts w:ascii="Roboto" w:hAnsi="Roboto"/>
                <w:color w:val="404040" w:themeColor="text1" w:themeTint="BF"/>
                <w:sz w:val="21"/>
                <w:szCs w:val="21"/>
                <w:lang w:val="en-GB"/>
              </w:rPr>
              <w:t xml:space="preserve">. The SDG/SDR 3 indicator </w:t>
            </w:r>
            <w:r w:rsidRPr="003C206F">
              <w:rPr>
                <w:rFonts w:ascii="Roboto" w:hAnsi="Roboto"/>
                <w:i/>
                <w:color w:val="404040" w:themeColor="text1" w:themeTint="BF"/>
                <w:sz w:val="21"/>
                <w:szCs w:val="21"/>
                <w:lang w:val="en-GB"/>
              </w:rPr>
              <w:t>traffic deaths</w:t>
            </w:r>
            <w:r w:rsidRPr="003C206F">
              <w:rPr>
                <w:rFonts w:ascii="Roboto" w:hAnsi="Roboto"/>
                <w:color w:val="404040" w:themeColor="text1" w:themeTint="BF"/>
                <w:sz w:val="21"/>
                <w:szCs w:val="21"/>
                <w:lang w:val="en-GB"/>
              </w:rPr>
              <w:t xml:space="preserve"> faces major challenges. No SDG/SDR 4 indicators face major challenges as of 2021. The SDG/SDR 5 indicators that face major challenges are </w:t>
            </w:r>
            <w:r w:rsidRPr="00C96BA8">
              <w:rPr>
                <w:rFonts w:ascii="Roboto" w:hAnsi="Roboto"/>
                <w:i/>
                <w:iCs/>
                <w:color w:val="404040" w:themeColor="text1" w:themeTint="BF"/>
                <w:sz w:val="21"/>
                <w:szCs w:val="21"/>
                <w:lang w:val="en-GB"/>
              </w:rPr>
              <w:t>dem</w:t>
            </w:r>
            <w:r w:rsidRPr="003C206F">
              <w:rPr>
                <w:rFonts w:ascii="Roboto" w:hAnsi="Roboto"/>
                <w:i/>
                <w:color w:val="404040" w:themeColor="text1" w:themeTint="BF"/>
                <w:sz w:val="21"/>
                <w:szCs w:val="21"/>
                <w:lang w:val="en-GB"/>
              </w:rPr>
              <w:t>and for family planning satisfied by modern methods</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ratio of female-to-male labour force participation rate</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seats held by women in national parliament</w:t>
            </w:r>
            <w:r w:rsidR="000F1B6D">
              <w:rPr>
                <w:rStyle w:val="FootnoteReference"/>
                <w:rFonts w:ascii="Roboto" w:hAnsi="Roboto"/>
                <w:color w:val="404040" w:themeColor="text1" w:themeTint="BF"/>
                <w:sz w:val="21"/>
                <w:szCs w:val="21"/>
                <w:lang w:val="en-GB"/>
              </w:rPr>
              <w:footnoteReference w:id="2"/>
            </w:r>
            <w:r w:rsidRPr="003C206F">
              <w:rPr>
                <w:rFonts w:ascii="Roboto" w:hAnsi="Roboto"/>
                <w:color w:val="404040" w:themeColor="text1" w:themeTint="BF"/>
                <w:sz w:val="21"/>
                <w:szCs w:val="21"/>
                <w:lang w:val="en-GB"/>
              </w:rPr>
              <w:t>.</w:t>
            </w:r>
          </w:p>
        </w:tc>
      </w:tr>
    </w:tbl>
    <w:p w14:paraId="24310E91" w14:textId="17781061" w:rsidR="00871C7A" w:rsidRPr="003C206F" w:rsidRDefault="00871C7A" w:rsidP="003061B4">
      <w:pPr>
        <w:rPr>
          <w:rFonts w:ascii="Roboto" w:hAnsi="Roboto"/>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7"/>
      </w:tblGrid>
      <w:tr w:rsidR="00871C7A" w:rsidRPr="003C206F" w14:paraId="3F5E41E9" w14:textId="77777777" w:rsidTr="000566E0">
        <w:tc>
          <w:tcPr>
            <w:tcW w:w="420" w:type="dxa"/>
            <w:tcBorders>
              <w:top w:val="single" w:sz="24" w:space="0" w:color="FF3A21"/>
              <w:left w:val="single" w:sz="24" w:space="0" w:color="FF3A21"/>
              <w:bottom w:val="single" w:sz="24" w:space="0" w:color="FF3A21"/>
              <w:right w:val="single" w:sz="24" w:space="0" w:color="FF3A21"/>
            </w:tcBorders>
            <w:shd w:val="clear" w:color="auto" w:fill="FF3A21"/>
            <w:vAlign w:val="center"/>
          </w:tcPr>
          <w:p w14:paraId="7F3A8024"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2</w:t>
            </w:r>
          </w:p>
        </w:tc>
        <w:tc>
          <w:tcPr>
            <w:tcW w:w="9260" w:type="dxa"/>
            <w:tcBorders>
              <w:top w:val="single" w:sz="24" w:space="0" w:color="FF3A21"/>
              <w:left w:val="single" w:sz="24" w:space="0" w:color="FF3A21"/>
              <w:bottom w:val="single" w:sz="24" w:space="0" w:color="FF3A21"/>
              <w:right w:val="single" w:sz="24" w:space="0" w:color="FF3A21"/>
            </w:tcBorders>
          </w:tcPr>
          <w:p w14:paraId="54EBC159" w14:textId="77777777" w:rsidR="00871C7A" w:rsidRPr="003C206F" w:rsidRDefault="00871C7A" w:rsidP="004E6B9A">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2: Planet (SDGs 6, 12–15)</w:t>
            </w:r>
          </w:p>
          <w:p w14:paraId="0252D912" w14:textId="148806E3" w:rsidR="00871C7A" w:rsidRPr="003C206F" w:rsidRDefault="00871C7A" w:rsidP="004E6B9A">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The SDG/SDR 6 indicators that face major challenges are </w:t>
            </w:r>
            <w:r w:rsidRPr="003C206F">
              <w:rPr>
                <w:rFonts w:ascii="Roboto" w:hAnsi="Roboto"/>
                <w:i/>
                <w:color w:val="404040" w:themeColor="text1" w:themeTint="BF"/>
                <w:sz w:val="21"/>
                <w:szCs w:val="21"/>
                <w:lang w:val="en-GB"/>
              </w:rPr>
              <w:t>freshwater withdrawal</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anthropogenic wastewater that receives treatment</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scarce water consumption embodied in imports</w:t>
            </w:r>
            <w:r w:rsidRPr="003C206F">
              <w:rPr>
                <w:rFonts w:ascii="Roboto" w:hAnsi="Roboto"/>
                <w:color w:val="404040" w:themeColor="text1" w:themeTint="BF"/>
                <w:sz w:val="21"/>
                <w:szCs w:val="21"/>
                <w:lang w:val="en-GB"/>
              </w:rPr>
              <w:t xml:space="preserve">. The SDG/SDR 12 indicator that faces major challenges is </w:t>
            </w:r>
            <w:r w:rsidRPr="003C206F">
              <w:rPr>
                <w:rFonts w:ascii="Roboto" w:hAnsi="Roboto"/>
                <w:i/>
                <w:color w:val="404040" w:themeColor="text1" w:themeTint="BF"/>
                <w:sz w:val="21"/>
                <w:szCs w:val="21"/>
                <w:lang w:val="en-GB"/>
              </w:rPr>
              <w:t>electronic waste</w:t>
            </w:r>
            <w:r w:rsidRPr="003C206F">
              <w:rPr>
                <w:rFonts w:ascii="Roboto" w:hAnsi="Roboto"/>
                <w:color w:val="404040" w:themeColor="text1" w:themeTint="BF"/>
                <w:sz w:val="21"/>
                <w:szCs w:val="21"/>
                <w:lang w:val="en-GB"/>
              </w:rPr>
              <w:t xml:space="preserve">. The SDG/SDR 13 indicators that face major challenges are </w:t>
            </w:r>
            <w:r w:rsidRPr="003C206F">
              <w:rPr>
                <w:rFonts w:ascii="Roboto" w:hAnsi="Roboto"/>
                <w:i/>
                <w:color w:val="404040" w:themeColor="text1" w:themeTint="BF"/>
                <w:sz w:val="21"/>
                <w:szCs w:val="21"/>
                <w:lang w:val="en-GB"/>
              </w:rPr>
              <w:t>CO</w:t>
            </w:r>
            <w:r w:rsidRPr="003C206F">
              <w:rPr>
                <w:rFonts w:ascii="Cambria Math" w:hAnsi="Cambria Math" w:cs="Cambria Math"/>
                <w:i/>
                <w:color w:val="404040" w:themeColor="text1" w:themeTint="BF"/>
                <w:sz w:val="21"/>
                <w:szCs w:val="21"/>
                <w:lang w:val="en-GB"/>
              </w:rPr>
              <w:t>₂</w:t>
            </w:r>
            <w:r w:rsidRPr="003C206F">
              <w:rPr>
                <w:rFonts w:ascii="Roboto" w:hAnsi="Roboto"/>
                <w:i/>
                <w:color w:val="404040" w:themeColor="text1" w:themeTint="BF"/>
                <w:sz w:val="21"/>
                <w:szCs w:val="21"/>
                <w:lang w:val="en-GB"/>
              </w:rPr>
              <w:t xml:space="preserve"> emissions from fossil fuel combustion and cement production</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CO</w:t>
            </w:r>
            <w:r w:rsidRPr="003C206F">
              <w:rPr>
                <w:rFonts w:ascii="Cambria Math" w:hAnsi="Cambria Math" w:cs="Cambria Math"/>
                <w:i/>
                <w:color w:val="404040" w:themeColor="text1" w:themeTint="BF"/>
                <w:sz w:val="21"/>
                <w:szCs w:val="21"/>
                <w:lang w:val="en-GB"/>
              </w:rPr>
              <w:t>₂</w:t>
            </w:r>
            <w:r w:rsidRPr="003C206F">
              <w:rPr>
                <w:rFonts w:ascii="Roboto" w:hAnsi="Roboto"/>
                <w:i/>
                <w:color w:val="404040" w:themeColor="text1" w:themeTint="BF"/>
                <w:sz w:val="21"/>
                <w:szCs w:val="21"/>
                <w:lang w:val="en-GB"/>
              </w:rPr>
              <w:t xml:space="preserve"> emissions embodied in imports</w:t>
            </w:r>
            <w:r w:rsidRPr="003C206F">
              <w:rPr>
                <w:rFonts w:ascii="Roboto" w:hAnsi="Roboto"/>
                <w:color w:val="404040" w:themeColor="text1" w:themeTint="BF"/>
                <w:sz w:val="21"/>
                <w:szCs w:val="21"/>
                <w:lang w:val="en-GB"/>
              </w:rPr>
              <w:t xml:space="preserve">. The SDG/SDR 14 indicators that face major challenges are </w:t>
            </w:r>
            <w:r w:rsidRPr="003C206F">
              <w:rPr>
                <w:rFonts w:ascii="Roboto" w:hAnsi="Roboto"/>
                <w:i/>
                <w:color w:val="404040" w:themeColor="text1" w:themeTint="BF"/>
                <w:sz w:val="21"/>
                <w:szCs w:val="21"/>
                <w:lang w:val="en-GB"/>
              </w:rPr>
              <w:t>mean area protected in marine sites important to biodiversity</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Ocean Health Index</w:t>
            </w:r>
            <w:r w:rsidRPr="003C206F">
              <w:rPr>
                <w:rFonts w:ascii="Roboto" w:hAnsi="Roboto"/>
                <w:color w:val="404040" w:themeColor="text1" w:themeTint="BF"/>
                <w:sz w:val="21"/>
                <w:szCs w:val="21"/>
                <w:lang w:val="en-GB"/>
              </w:rPr>
              <w:t xml:space="preserve">. The SDG/SDR 15 indicators that face major challenges are </w:t>
            </w:r>
            <w:r w:rsidRPr="003C206F">
              <w:rPr>
                <w:rFonts w:ascii="Roboto" w:hAnsi="Roboto"/>
                <w:i/>
                <w:color w:val="404040" w:themeColor="text1" w:themeTint="BF"/>
                <w:sz w:val="21"/>
                <w:szCs w:val="21"/>
                <w:lang w:val="en-GB"/>
              </w:rPr>
              <w:t>mean area protected in terrestrial sites important to biodiversity</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mean area protected in freshwater sites important to biodiversity</w:t>
            </w:r>
            <w:r w:rsidRPr="003C206F">
              <w:rPr>
                <w:rFonts w:ascii="Roboto" w:hAnsi="Roboto"/>
                <w:color w:val="404040" w:themeColor="text1" w:themeTint="BF"/>
                <w:sz w:val="21"/>
                <w:szCs w:val="21"/>
                <w:lang w:val="en-GB"/>
              </w:rPr>
              <w:t>. </w:t>
            </w:r>
          </w:p>
        </w:tc>
      </w:tr>
    </w:tbl>
    <w:p w14:paraId="09713D86" w14:textId="16BC31F7" w:rsidR="00871C7A" w:rsidRPr="003C206F" w:rsidRDefault="00871C7A" w:rsidP="003061B4">
      <w:pPr>
        <w:jc w:val="both"/>
        <w:rPr>
          <w:rFonts w:ascii="Roboto" w:hAnsi="Roboto"/>
          <w:b/>
          <w:color w:val="404040" w:themeColor="text1" w:themeTint="BF"/>
          <w:sz w:val="10"/>
          <w:szCs w:val="10"/>
          <w:lang w:val="en-GB"/>
        </w:rPr>
      </w:pPr>
    </w:p>
    <w:tbl>
      <w:tblPr>
        <w:tblStyle w:val="TableGrid"/>
        <w:tblW w:w="9029" w:type="dxa"/>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ook w:val="04A0" w:firstRow="1" w:lastRow="0" w:firstColumn="1" w:lastColumn="0" w:noHBand="0" w:noVBand="1"/>
      </w:tblPr>
      <w:tblGrid>
        <w:gridCol w:w="475"/>
        <w:gridCol w:w="8554"/>
      </w:tblGrid>
      <w:tr w:rsidR="00871C7A" w:rsidRPr="003C206F" w14:paraId="00BFB5EA" w14:textId="77777777" w:rsidTr="0003451C">
        <w:tc>
          <w:tcPr>
            <w:tcW w:w="475" w:type="dxa"/>
            <w:shd w:val="clear" w:color="auto" w:fill="4C9F38"/>
            <w:vAlign w:val="center"/>
          </w:tcPr>
          <w:p w14:paraId="6E8211FD"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3</w:t>
            </w:r>
          </w:p>
        </w:tc>
        <w:tc>
          <w:tcPr>
            <w:tcW w:w="8554" w:type="dxa"/>
          </w:tcPr>
          <w:p w14:paraId="032CE14D" w14:textId="77777777" w:rsidR="00871C7A" w:rsidRPr="003C206F" w:rsidRDefault="00871C7A" w:rsidP="004E6B9A">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3: Prosperity (SDGs 7–11)</w:t>
            </w:r>
          </w:p>
          <w:p w14:paraId="0EF8FAF1" w14:textId="71FB0449" w:rsidR="00871C7A" w:rsidRPr="003C206F" w:rsidRDefault="00871C7A" w:rsidP="004E6B9A">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No SDG/SDR indicators that correspond to SDGs 7 or 8 face major challenges as of 2021. The SDG/SDR 9 indicator that faces major challenges is </w:t>
            </w:r>
            <w:r w:rsidRPr="003C206F">
              <w:rPr>
                <w:rFonts w:ascii="Roboto" w:hAnsi="Roboto"/>
                <w:i/>
                <w:color w:val="404040" w:themeColor="text1" w:themeTint="BF"/>
                <w:sz w:val="21"/>
                <w:szCs w:val="21"/>
                <w:lang w:val="en-GB"/>
              </w:rPr>
              <w:t>expenditure on research and development</w:t>
            </w:r>
            <w:r w:rsidRPr="003C206F">
              <w:rPr>
                <w:rFonts w:ascii="Roboto" w:hAnsi="Roboto"/>
                <w:color w:val="404040" w:themeColor="text1" w:themeTint="BF"/>
                <w:sz w:val="21"/>
                <w:szCs w:val="21"/>
                <w:lang w:val="en-GB"/>
              </w:rPr>
              <w:t xml:space="preserve">. The assessment of SDG/SDR 10 indicators is indeterminate due to a lack of data availability. The SDG/SDR 11 indicator that faces major challenges is </w:t>
            </w:r>
            <w:r w:rsidRPr="003C206F">
              <w:rPr>
                <w:rFonts w:ascii="Roboto" w:hAnsi="Roboto"/>
                <w:i/>
                <w:color w:val="404040" w:themeColor="text1" w:themeTint="BF"/>
                <w:sz w:val="21"/>
                <w:szCs w:val="21"/>
                <w:lang w:val="en-GB"/>
              </w:rPr>
              <w:t>annual mean concentration of particulate matter of less than 2.5 microns in diameter</w:t>
            </w:r>
            <w:r w:rsidRPr="003C206F">
              <w:rPr>
                <w:rFonts w:ascii="Roboto" w:hAnsi="Roboto"/>
                <w:color w:val="404040" w:themeColor="text1" w:themeTint="BF"/>
                <w:sz w:val="21"/>
                <w:szCs w:val="21"/>
                <w:lang w:val="en-GB"/>
              </w:rPr>
              <w:t>.</w:t>
            </w:r>
          </w:p>
        </w:tc>
      </w:tr>
    </w:tbl>
    <w:p w14:paraId="4CD59298" w14:textId="559A4B0F" w:rsidR="00871C7A" w:rsidRPr="003C206F" w:rsidRDefault="00871C7A" w:rsidP="003061B4">
      <w:pPr>
        <w:jc w:val="both"/>
        <w:rPr>
          <w:rFonts w:ascii="Roboto" w:hAnsi="Roboto"/>
          <w:b/>
          <w:color w:val="404040" w:themeColor="text1" w:themeTint="BF"/>
          <w:sz w:val="10"/>
          <w:szCs w:val="10"/>
          <w:lang w:val="en-GB"/>
        </w:rPr>
      </w:pPr>
    </w:p>
    <w:tbl>
      <w:tblPr>
        <w:tblStyle w:val="TableGrid"/>
        <w:tblW w:w="9029" w:type="dxa"/>
        <w:tblLook w:val="04A0" w:firstRow="1" w:lastRow="0" w:firstColumn="1" w:lastColumn="0" w:noHBand="0" w:noVBand="1"/>
      </w:tblPr>
      <w:tblGrid>
        <w:gridCol w:w="475"/>
        <w:gridCol w:w="8554"/>
      </w:tblGrid>
      <w:tr w:rsidR="00871C7A" w:rsidRPr="003C206F" w14:paraId="7157E712" w14:textId="77777777" w:rsidTr="000566E0">
        <w:tc>
          <w:tcPr>
            <w:tcW w:w="475"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41EA9F43"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4</w:t>
            </w:r>
          </w:p>
        </w:tc>
        <w:tc>
          <w:tcPr>
            <w:tcW w:w="8554" w:type="dxa"/>
            <w:tcBorders>
              <w:top w:val="single" w:sz="24" w:space="0" w:color="FCC30B"/>
              <w:left w:val="single" w:sz="24" w:space="0" w:color="FCC30B"/>
              <w:bottom w:val="single" w:sz="24" w:space="0" w:color="FCC30B"/>
              <w:right w:val="single" w:sz="24" w:space="0" w:color="FCC30B"/>
            </w:tcBorders>
          </w:tcPr>
          <w:p w14:paraId="595B7C28" w14:textId="77777777" w:rsidR="00871C7A" w:rsidRPr="003C206F" w:rsidRDefault="00871C7A" w:rsidP="004E6B9A">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4: Peace, Partnership, and Other Cross-Cutting Issues (SDGs 16–17)</w:t>
            </w:r>
          </w:p>
          <w:p w14:paraId="60ECA3E1" w14:textId="4B48AD2E" w:rsidR="00871C7A" w:rsidRPr="003C206F" w:rsidRDefault="00871C7A" w:rsidP="004E6B9A">
            <w:pPr>
              <w:pStyle w:val="NormalWeb"/>
              <w:spacing w:before="0" w:beforeAutospacing="0" w:after="0" w:afterAutospacing="0"/>
              <w:ind w:left="144" w:right="144"/>
              <w:jc w:val="both"/>
              <w:rPr>
                <w:rFonts w:ascii="Roboto" w:hAnsi="Roboto"/>
                <w:color w:val="404040" w:themeColor="text1" w:themeTint="BF"/>
                <w:sz w:val="22"/>
                <w:szCs w:val="22"/>
                <w:lang w:val="en-GB"/>
              </w:rPr>
            </w:pPr>
            <w:r w:rsidRPr="003C206F">
              <w:rPr>
                <w:rFonts w:ascii="Roboto" w:hAnsi="Roboto"/>
                <w:color w:val="404040" w:themeColor="text1" w:themeTint="BF"/>
                <w:sz w:val="21"/>
                <w:szCs w:val="21"/>
                <w:lang w:val="en-GB"/>
              </w:rPr>
              <w:t xml:space="preserve">The SDG/SDR indicator that corresponds to SDG 16 that faces major challenges is </w:t>
            </w:r>
            <w:r w:rsidRPr="003C206F">
              <w:rPr>
                <w:rFonts w:ascii="Roboto" w:hAnsi="Roboto"/>
                <w:i/>
                <w:color w:val="404040" w:themeColor="text1" w:themeTint="BF"/>
                <w:sz w:val="21"/>
                <w:szCs w:val="21"/>
                <w:lang w:val="en-GB"/>
              </w:rPr>
              <w:t>Press Freedom Index</w:t>
            </w:r>
            <w:r w:rsidRPr="003C206F">
              <w:rPr>
                <w:rFonts w:ascii="Roboto" w:hAnsi="Roboto"/>
                <w:color w:val="404040" w:themeColor="text1" w:themeTint="BF"/>
                <w:sz w:val="21"/>
                <w:szCs w:val="21"/>
                <w:lang w:val="en-GB"/>
              </w:rPr>
              <w:t xml:space="preserve">. The SDG/SDR 17 indicator that faces major challenges is </w:t>
            </w:r>
            <w:r w:rsidRPr="003C206F">
              <w:rPr>
                <w:rFonts w:ascii="Roboto" w:hAnsi="Roboto"/>
                <w:i/>
                <w:color w:val="404040" w:themeColor="text1" w:themeTint="BF"/>
                <w:sz w:val="21"/>
                <w:szCs w:val="21"/>
                <w:lang w:val="en-GB"/>
              </w:rPr>
              <w:t>international concessional public finance, including official development assistance</w:t>
            </w:r>
            <w:r w:rsidRPr="003C206F">
              <w:rPr>
                <w:rFonts w:ascii="Roboto" w:hAnsi="Roboto"/>
                <w:color w:val="404040" w:themeColor="text1" w:themeTint="BF"/>
                <w:sz w:val="21"/>
                <w:szCs w:val="21"/>
                <w:lang w:val="en-GB"/>
              </w:rPr>
              <w:t>.</w:t>
            </w:r>
          </w:p>
        </w:tc>
      </w:tr>
    </w:tbl>
    <w:p w14:paraId="19588B2F" w14:textId="4FE19EB5" w:rsidR="00FC76AB" w:rsidRDefault="00FC76AB">
      <w:pPr>
        <w:rPr>
          <w:rFonts w:ascii="Roboto" w:hAnsi="Roboto"/>
          <w:b/>
          <w:bCs/>
          <w:color w:val="404040" w:themeColor="text1" w:themeTint="BF"/>
          <w:sz w:val="21"/>
          <w:szCs w:val="21"/>
          <w:u w:val="single"/>
          <w:lang w:val="en-GB"/>
        </w:rPr>
      </w:pPr>
    </w:p>
    <w:p w14:paraId="1D926118" w14:textId="77777777" w:rsidR="002D6AB9" w:rsidRPr="003C206F" w:rsidRDefault="002D6AB9">
      <w:pPr>
        <w:rPr>
          <w:rFonts w:ascii="Roboto" w:hAnsi="Roboto"/>
          <w:b/>
          <w:bCs/>
          <w:color w:val="404040" w:themeColor="text1" w:themeTint="BF"/>
          <w:sz w:val="21"/>
          <w:szCs w:val="21"/>
          <w:u w:val="single"/>
          <w:lang w:val="en-GB"/>
        </w:rPr>
      </w:pPr>
    </w:p>
    <w:p w14:paraId="5093D274" w14:textId="77777777" w:rsidR="008451E2" w:rsidRDefault="008451E2">
      <w:pPr>
        <w:rPr>
          <w:rFonts w:ascii="Roboto" w:hAnsi="Roboto"/>
          <w:b/>
          <w:color w:val="404040" w:themeColor="text1" w:themeTint="BF"/>
          <w:sz w:val="21"/>
          <w:szCs w:val="21"/>
          <w:lang w:val="en-GB"/>
        </w:rPr>
      </w:pPr>
      <w:r>
        <w:rPr>
          <w:rFonts w:ascii="Roboto" w:hAnsi="Roboto"/>
          <w:b/>
          <w:color w:val="404040" w:themeColor="text1" w:themeTint="BF"/>
          <w:sz w:val="21"/>
          <w:szCs w:val="21"/>
          <w:lang w:val="en-GB"/>
        </w:rPr>
        <w:br w:type="page"/>
      </w:r>
    </w:p>
    <w:p w14:paraId="02E1F5D1" w14:textId="53C1E5A5" w:rsidR="00871C7A" w:rsidRPr="003C206F" w:rsidRDefault="00871C7A" w:rsidP="001920F0">
      <w:pPr>
        <w:rPr>
          <w:rFonts w:ascii="Roboto" w:hAnsi="Roboto"/>
          <w:b/>
          <w:color w:val="404040" w:themeColor="text1" w:themeTint="BF"/>
          <w:sz w:val="21"/>
          <w:szCs w:val="21"/>
          <w:lang w:val="en-GB"/>
        </w:rPr>
      </w:pPr>
      <w:r w:rsidRPr="003C206F">
        <w:rPr>
          <w:rFonts w:ascii="Roboto" w:hAnsi="Roboto" w:cs="Calibri"/>
          <w:noProof/>
          <w:color w:val="404040" w:themeColor="text1" w:themeTint="BF"/>
          <w:sz w:val="21"/>
          <w:szCs w:val="21"/>
          <w:lang w:val="en-GB"/>
        </w:rPr>
        <w:lastRenderedPageBreak/>
        <mc:AlternateContent>
          <mc:Choice Requires="wps">
            <w:drawing>
              <wp:anchor distT="0" distB="0" distL="114300" distR="114300" simplePos="0" relativeHeight="251739214" behindDoc="1" locked="0" layoutInCell="1" allowOverlap="1" wp14:anchorId="12685838" wp14:editId="00B58FD8">
                <wp:simplePos x="0" y="0"/>
                <wp:positionH relativeFrom="column">
                  <wp:posOffset>1437640</wp:posOffset>
                </wp:positionH>
                <wp:positionV relativeFrom="paragraph">
                  <wp:posOffset>42545</wp:posOffset>
                </wp:positionV>
                <wp:extent cx="63500" cy="63500"/>
                <wp:effectExtent l="0" t="0" r="0" b="0"/>
                <wp:wrapTight wrapText="bothSides">
                  <wp:wrapPolygon edited="0">
                    <wp:start x="0" y="0"/>
                    <wp:lineTo x="0" y="12960"/>
                    <wp:lineTo x="12960" y="12960"/>
                    <wp:lineTo x="12960" y="0"/>
                    <wp:lineTo x="0" y="0"/>
                  </wp:wrapPolygon>
                </wp:wrapTight>
                <wp:docPr id="513" name="Oval 513"/>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1942335" id="Oval 513" o:spid="_x0000_s1026" style="position:absolute;margin-left:113.2pt;margin-top:3.35pt;width:5pt;height:5pt;z-index:-25157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" fillcolor="#aeaaaa [2414]" stroked="f" strokeweight="1pt">
                <v:stroke joinstyle="miter"/>
                <w10:wrap type="tight"/>
              </v:oval>
            </w:pict>
          </mc:Fallback>
        </mc:AlternateContent>
      </w:r>
      <w:r w:rsidRPr="003C206F">
        <w:rPr>
          <w:rFonts w:ascii="Roboto" w:hAnsi="Roboto"/>
          <w:b/>
          <w:color w:val="404040" w:themeColor="text1" w:themeTint="BF"/>
          <w:sz w:val="21"/>
          <w:szCs w:val="21"/>
          <w:lang w:val="en-GB"/>
        </w:rPr>
        <w:t xml:space="preserve">SDG/SDR Indicators – </w:t>
      </w:r>
      <w:r w:rsidR="00431CB7" w:rsidRPr="008029E6">
        <w:rPr>
          <w:rFonts w:ascii="Roboto" w:hAnsi="Roboto"/>
          <w:b/>
          <w:color w:val="AEAAAA" w:themeColor="background2" w:themeShade="BF"/>
          <w:sz w:val="21"/>
          <w:szCs w:val="21"/>
          <w:lang w:val="en-GB"/>
        </w:rPr>
        <w:t xml:space="preserve">Data Availability </w:t>
      </w:r>
      <w:r w:rsidRPr="003C206F">
        <w:rPr>
          <w:rFonts w:ascii="Roboto" w:hAnsi="Roboto"/>
          <w:b/>
          <w:color w:val="404040" w:themeColor="text1" w:themeTint="BF"/>
          <w:sz w:val="21"/>
          <w:szCs w:val="21"/>
          <w:lang w:val="en-GB"/>
        </w:rPr>
        <w:t>1</w:t>
      </w:r>
      <w:r w:rsidR="003A5596">
        <w:rPr>
          <w:rFonts w:ascii="Roboto" w:hAnsi="Roboto"/>
          <w:b/>
          <w:color w:val="404040" w:themeColor="text1" w:themeTint="BF"/>
          <w:sz w:val="21"/>
          <w:szCs w:val="21"/>
          <w:lang w:val="en-GB"/>
        </w:rPr>
        <w:t>2</w:t>
      </w:r>
      <w:r w:rsidRPr="003C206F">
        <w:rPr>
          <w:rFonts w:ascii="Roboto" w:hAnsi="Roboto"/>
          <w:b/>
          <w:color w:val="404040" w:themeColor="text1" w:themeTint="BF"/>
          <w:sz w:val="21"/>
          <w:szCs w:val="21"/>
          <w:lang w:val="en-GB"/>
        </w:rPr>
        <w:t xml:space="preserve"> of 92: </w:t>
      </w:r>
    </w:p>
    <w:p w14:paraId="319FFE9C" w14:textId="04A81A5F" w:rsidR="00871C7A" w:rsidRPr="003C206F" w:rsidRDefault="00871C7A" w:rsidP="001920F0">
      <w:pPr>
        <w:rPr>
          <w:rFonts w:ascii="Roboto" w:hAnsi="Roboto"/>
          <w:b/>
          <w:bCs/>
          <w:color w:val="404040" w:themeColor="text1" w:themeTint="BF"/>
          <w:sz w:val="21"/>
          <w:szCs w:val="21"/>
          <w:lang w:val="en-GB"/>
        </w:rPr>
      </w:pPr>
    </w:p>
    <w:tbl>
      <w:tblPr>
        <w:tblStyle w:val="TableGrid"/>
        <w:tblW w:w="9029" w:type="dxa"/>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75"/>
        <w:gridCol w:w="8554"/>
      </w:tblGrid>
      <w:tr w:rsidR="00871C7A" w:rsidRPr="003C206F" w14:paraId="20EF5799" w14:textId="77777777" w:rsidTr="0003451C">
        <w:trPr>
          <w:trHeight w:val="288"/>
        </w:trPr>
        <w:tc>
          <w:tcPr>
            <w:tcW w:w="475" w:type="dxa"/>
            <w:shd w:val="clear" w:color="auto" w:fill="26BDE2"/>
            <w:vAlign w:val="center"/>
          </w:tcPr>
          <w:p w14:paraId="417C56E2"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1</w:t>
            </w:r>
          </w:p>
        </w:tc>
        <w:tc>
          <w:tcPr>
            <w:tcW w:w="8554" w:type="dxa"/>
          </w:tcPr>
          <w:p w14:paraId="5A1DF38B"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1: People (SDGs 1–5)</w:t>
            </w:r>
          </w:p>
          <w:p w14:paraId="4A14F45C" w14:textId="1B60DA95"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1"/>
                <w:szCs w:val="21"/>
                <w:lang w:val="en-GB"/>
              </w:rPr>
            </w:pPr>
            <w:r w:rsidRPr="003C206F">
              <w:rPr>
                <w:rFonts w:ascii="Roboto" w:hAnsi="Roboto"/>
                <w:color w:val="404040" w:themeColor="text1" w:themeTint="BF"/>
                <w:sz w:val="21"/>
                <w:szCs w:val="21"/>
                <w:lang w:val="en-GB"/>
              </w:rPr>
              <w:t xml:space="preserve">There are data availability issues regarding the SDG/SDR indicators that correspond to SDG 1 (SDG/SDR 1 indicators) </w:t>
            </w:r>
            <w:r w:rsidRPr="003C206F">
              <w:rPr>
                <w:rFonts w:ascii="Roboto" w:hAnsi="Roboto"/>
                <w:i/>
                <w:color w:val="404040" w:themeColor="text1" w:themeTint="BF"/>
                <w:sz w:val="21"/>
                <w:szCs w:val="21"/>
                <w:lang w:val="en-GB"/>
              </w:rPr>
              <w:t>poverty headcount ratio at $1.90/day</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poverty headcount ratio at $3.20/day</w:t>
            </w:r>
            <w:r w:rsidRPr="003C206F">
              <w:rPr>
                <w:rFonts w:ascii="Roboto" w:hAnsi="Roboto"/>
                <w:color w:val="404040" w:themeColor="text1" w:themeTint="BF"/>
                <w:sz w:val="21"/>
                <w:szCs w:val="21"/>
                <w:lang w:val="en-GB"/>
              </w:rPr>
              <w:t xml:space="preserve">. There are data availability issues regarding the SDG/SDR 3 indicator </w:t>
            </w:r>
            <w:r w:rsidRPr="003C206F">
              <w:rPr>
                <w:rFonts w:ascii="Roboto" w:hAnsi="Roboto"/>
                <w:i/>
                <w:color w:val="404040" w:themeColor="text1" w:themeTint="BF"/>
                <w:sz w:val="21"/>
                <w:szCs w:val="21"/>
                <w:lang w:val="en-GB"/>
              </w:rPr>
              <w:t>new HIV infections</w:t>
            </w:r>
            <w:r w:rsidRPr="003C206F">
              <w:rPr>
                <w:rFonts w:ascii="Roboto" w:hAnsi="Roboto"/>
                <w:color w:val="404040" w:themeColor="text1" w:themeTint="BF"/>
                <w:sz w:val="21"/>
                <w:szCs w:val="21"/>
                <w:lang w:val="en-GB"/>
              </w:rPr>
              <w:t>.</w:t>
            </w:r>
          </w:p>
        </w:tc>
      </w:tr>
    </w:tbl>
    <w:p w14:paraId="19004AD2" w14:textId="77777777" w:rsidR="00871C7A" w:rsidRPr="003C206F" w:rsidRDefault="00871C7A" w:rsidP="004E6B9A">
      <w:pPr>
        <w:rPr>
          <w:rFonts w:ascii="Roboto" w:hAnsi="Roboto"/>
          <w:b/>
          <w:color w:val="404040" w:themeColor="text1" w:themeTint="BF"/>
          <w:sz w:val="10"/>
          <w:szCs w:val="10"/>
          <w:lang w:val="en-GB"/>
        </w:rPr>
      </w:pPr>
    </w:p>
    <w:tbl>
      <w:tblPr>
        <w:tblStyle w:val="TableGrid"/>
        <w:tblW w:w="9029" w:type="dxa"/>
        <w:tblLook w:val="04A0" w:firstRow="1" w:lastRow="0" w:firstColumn="1" w:lastColumn="0" w:noHBand="0" w:noVBand="1"/>
      </w:tblPr>
      <w:tblGrid>
        <w:gridCol w:w="475"/>
        <w:gridCol w:w="8554"/>
      </w:tblGrid>
      <w:tr w:rsidR="00871C7A" w:rsidRPr="003C206F" w14:paraId="2CD51BA3" w14:textId="77777777" w:rsidTr="006164F0">
        <w:tc>
          <w:tcPr>
            <w:tcW w:w="475" w:type="dxa"/>
            <w:tcBorders>
              <w:top w:val="single" w:sz="24" w:space="0" w:color="FF3A21"/>
              <w:left w:val="single" w:sz="24" w:space="0" w:color="FF3A21"/>
              <w:bottom w:val="single" w:sz="24" w:space="0" w:color="FF3A21"/>
              <w:right w:val="single" w:sz="24" w:space="0" w:color="FF3A21"/>
            </w:tcBorders>
            <w:shd w:val="clear" w:color="auto" w:fill="FF3A21"/>
            <w:vAlign w:val="center"/>
          </w:tcPr>
          <w:p w14:paraId="3B4323A5"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2</w:t>
            </w:r>
          </w:p>
        </w:tc>
        <w:tc>
          <w:tcPr>
            <w:tcW w:w="8554" w:type="dxa"/>
            <w:tcBorders>
              <w:top w:val="single" w:sz="24" w:space="0" w:color="FF3A21"/>
              <w:left w:val="single" w:sz="24" w:space="0" w:color="FF3A21"/>
              <w:bottom w:val="single" w:sz="24" w:space="0" w:color="FF3A21"/>
              <w:right w:val="single" w:sz="24" w:space="0" w:color="FF3A21"/>
            </w:tcBorders>
          </w:tcPr>
          <w:p w14:paraId="19BB441D"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2: Planet (SDGs 6, 12–15)</w:t>
            </w:r>
          </w:p>
          <w:p w14:paraId="4030D7D7" w14:textId="3AC6F09F"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There are data availability issues regarding the SDG/SDR indicator that corresponds to SDG 15 </w:t>
            </w:r>
            <w:r w:rsidRPr="003C206F">
              <w:rPr>
                <w:rFonts w:ascii="Roboto" w:hAnsi="Roboto"/>
                <w:i/>
                <w:color w:val="404040" w:themeColor="text1" w:themeTint="BF"/>
                <w:sz w:val="21"/>
                <w:szCs w:val="21"/>
                <w:lang w:val="en-GB"/>
              </w:rPr>
              <w:t>permanent deforestation</w:t>
            </w:r>
            <w:r w:rsidRPr="003C206F">
              <w:rPr>
                <w:rFonts w:ascii="Roboto" w:hAnsi="Roboto"/>
                <w:color w:val="404040" w:themeColor="text1" w:themeTint="BF"/>
                <w:sz w:val="21"/>
                <w:szCs w:val="21"/>
                <w:lang w:val="en-GB"/>
              </w:rPr>
              <w:t>.</w:t>
            </w:r>
          </w:p>
        </w:tc>
      </w:tr>
    </w:tbl>
    <w:p w14:paraId="06920F77" w14:textId="77777777" w:rsidR="00871C7A" w:rsidRPr="003C206F" w:rsidRDefault="00871C7A" w:rsidP="004E6B9A">
      <w:pPr>
        <w:jc w:val="both"/>
        <w:rPr>
          <w:rFonts w:ascii="Roboto" w:hAnsi="Roboto"/>
          <w:b/>
          <w:color w:val="404040" w:themeColor="text1" w:themeTint="BF"/>
          <w:sz w:val="10"/>
          <w:szCs w:val="10"/>
          <w:lang w:val="en-GB"/>
        </w:rPr>
      </w:pPr>
    </w:p>
    <w:tbl>
      <w:tblPr>
        <w:tblStyle w:val="TableGrid"/>
        <w:tblW w:w="0" w:type="auto"/>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ook w:val="04A0" w:firstRow="1" w:lastRow="0" w:firstColumn="1" w:lastColumn="0" w:noHBand="0" w:noVBand="1"/>
      </w:tblPr>
      <w:tblGrid>
        <w:gridCol w:w="469"/>
        <w:gridCol w:w="8497"/>
      </w:tblGrid>
      <w:tr w:rsidR="00871C7A" w:rsidRPr="003C206F" w14:paraId="15EDE9A9" w14:textId="77777777" w:rsidTr="00F25C36">
        <w:tc>
          <w:tcPr>
            <w:tcW w:w="420" w:type="dxa"/>
            <w:shd w:val="clear" w:color="auto" w:fill="4C9F38"/>
            <w:vAlign w:val="center"/>
          </w:tcPr>
          <w:p w14:paraId="2C67F424"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3</w:t>
            </w:r>
          </w:p>
        </w:tc>
        <w:tc>
          <w:tcPr>
            <w:tcW w:w="9260" w:type="dxa"/>
          </w:tcPr>
          <w:p w14:paraId="2B0DCD7D"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3: Prosperity (SDGs 7–11)</w:t>
            </w:r>
          </w:p>
          <w:p w14:paraId="4B910808" w14:textId="7D09CC5D" w:rsidR="00871C7A" w:rsidRPr="003C206F" w:rsidRDefault="00871C7A" w:rsidP="00F25C36">
            <w:pPr>
              <w:pStyle w:val="NormalWeb"/>
              <w:spacing w:before="0" w:beforeAutospacing="0" w:after="0" w:afterAutospacing="0"/>
              <w:ind w:left="144" w:right="144"/>
              <w:jc w:val="both"/>
              <w:rPr>
                <w:rFonts w:ascii="Roboto" w:hAnsi="Roboto" w:cs="Calibri"/>
                <w:color w:val="404040" w:themeColor="text1" w:themeTint="BF"/>
                <w:sz w:val="22"/>
                <w:szCs w:val="22"/>
                <w:lang w:val="en-GB"/>
              </w:rPr>
            </w:pPr>
            <w:r w:rsidRPr="003C206F">
              <w:rPr>
                <w:rFonts w:ascii="Roboto" w:hAnsi="Roboto"/>
                <w:color w:val="404040" w:themeColor="text1" w:themeTint="BF"/>
                <w:sz w:val="21"/>
                <w:szCs w:val="21"/>
                <w:lang w:val="en-GB"/>
              </w:rPr>
              <w:t xml:space="preserve">There are data availability issues regarding the SDG/SDR indicator that corresponds to SDG 8 </w:t>
            </w:r>
            <w:r w:rsidRPr="003C206F">
              <w:rPr>
                <w:rFonts w:ascii="Roboto" w:hAnsi="Roboto"/>
                <w:i/>
                <w:color w:val="404040" w:themeColor="text1" w:themeTint="BF"/>
                <w:sz w:val="21"/>
                <w:szCs w:val="21"/>
                <w:lang w:val="en-GB"/>
              </w:rPr>
              <w:t>victims of modern slavery</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fundamental labour rights are effectively guaranteed</w:t>
            </w:r>
            <w:r w:rsidRPr="003C206F">
              <w:rPr>
                <w:rFonts w:ascii="Roboto" w:hAnsi="Roboto"/>
                <w:color w:val="404040" w:themeColor="text1" w:themeTint="BF"/>
                <w:sz w:val="21"/>
                <w:szCs w:val="21"/>
                <w:lang w:val="en-GB"/>
              </w:rPr>
              <w:t xml:space="preserve">. There are data availability issues regarding the SDG/SDR 10 indicators </w:t>
            </w:r>
            <w:r w:rsidRPr="003C206F">
              <w:rPr>
                <w:rFonts w:ascii="Roboto" w:hAnsi="Roboto"/>
                <w:i/>
                <w:color w:val="404040" w:themeColor="text1" w:themeTint="BF"/>
                <w:sz w:val="21"/>
                <w:szCs w:val="21"/>
                <w:lang w:val="en-GB"/>
              </w:rPr>
              <w:t>Gini coefficient adjusted for top income</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Palma ratio</w:t>
            </w:r>
            <w:r w:rsidRPr="003C206F">
              <w:rPr>
                <w:rFonts w:ascii="Roboto" w:hAnsi="Roboto"/>
                <w:color w:val="404040" w:themeColor="text1" w:themeTint="BF"/>
                <w:sz w:val="21"/>
                <w:szCs w:val="21"/>
                <w:lang w:val="en-GB"/>
              </w:rPr>
              <w:t xml:space="preserve">, as well as the SDG/SDR 11 indicator </w:t>
            </w:r>
            <w:r w:rsidRPr="003C206F">
              <w:rPr>
                <w:rFonts w:ascii="Roboto" w:hAnsi="Roboto"/>
                <w:i/>
                <w:color w:val="404040" w:themeColor="text1" w:themeTint="BF"/>
                <w:sz w:val="21"/>
                <w:szCs w:val="21"/>
                <w:lang w:val="en-GB"/>
              </w:rPr>
              <w:t>access to improved water source, piped</w:t>
            </w:r>
            <w:r w:rsidRPr="003C206F">
              <w:rPr>
                <w:rFonts w:ascii="Roboto" w:hAnsi="Roboto"/>
                <w:color w:val="404040" w:themeColor="text1" w:themeTint="BF"/>
                <w:sz w:val="21"/>
                <w:szCs w:val="21"/>
                <w:lang w:val="en-GB"/>
              </w:rPr>
              <w:t>.</w:t>
            </w:r>
          </w:p>
        </w:tc>
      </w:tr>
    </w:tbl>
    <w:p w14:paraId="6329A832" w14:textId="77777777" w:rsidR="00871C7A" w:rsidRPr="003C206F" w:rsidRDefault="00871C7A" w:rsidP="004E6B9A">
      <w:pPr>
        <w:jc w:val="both"/>
        <w:rPr>
          <w:rFonts w:ascii="Roboto" w:hAnsi="Roboto"/>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7"/>
      </w:tblGrid>
      <w:tr w:rsidR="00871C7A" w:rsidRPr="003C206F" w14:paraId="68171FC0" w14:textId="77777777" w:rsidTr="006164F0">
        <w:tc>
          <w:tcPr>
            <w:tcW w:w="420"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50268205"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t>4</w:t>
            </w:r>
          </w:p>
        </w:tc>
        <w:tc>
          <w:tcPr>
            <w:tcW w:w="9260" w:type="dxa"/>
            <w:tcBorders>
              <w:top w:val="single" w:sz="24" w:space="0" w:color="FCC30B"/>
              <w:left w:val="single" w:sz="24" w:space="0" w:color="FCC30B"/>
              <w:bottom w:val="single" w:sz="24" w:space="0" w:color="FCC30B"/>
              <w:right w:val="single" w:sz="24" w:space="0" w:color="FCC30B"/>
            </w:tcBorders>
          </w:tcPr>
          <w:p w14:paraId="7056DD52" w14:textId="77777777" w:rsidR="00871C7A" w:rsidRPr="003C206F" w:rsidRDefault="00871C7A" w:rsidP="00F25C36">
            <w:pPr>
              <w:pStyle w:val="NormalWeb"/>
              <w:spacing w:before="0" w:beforeAutospacing="0" w:after="0" w:afterAutospacing="0"/>
              <w:ind w:left="144" w:right="144"/>
              <w:jc w:val="both"/>
              <w:rPr>
                <w:rFonts w:ascii="Roboto" w:hAnsi="Roboto" w:cs="Calibri"/>
                <w:b/>
                <w:color w:val="404040" w:themeColor="text1" w:themeTint="BF"/>
                <w:sz w:val="21"/>
                <w:szCs w:val="21"/>
                <w:lang w:val="en-GB"/>
              </w:rPr>
            </w:pPr>
            <w:r w:rsidRPr="003C206F">
              <w:rPr>
                <w:rFonts w:ascii="Roboto" w:hAnsi="Roboto" w:cs="Calibri"/>
                <w:b/>
                <w:color w:val="404040" w:themeColor="text1" w:themeTint="BF"/>
                <w:sz w:val="21"/>
                <w:szCs w:val="21"/>
                <w:lang w:val="en-GB"/>
              </w:rPr>
              <w:t>Strategic Priority Area 4: Peace, Partnership, and Other Cross-Cutting Issues (SDGs 16–17)</w:t>
            </w:r>
          </w:p>
          <w:p w14:paraId="4F757505" w14:textId="7BF20C5C" w:rsidR="00871C7A" w:rsidRPr="003C206F" w:rsidRDefault="00871C7A" w:rsidP="00F25C36">
            <w:pPr>
              <w:pStyle w:val="NormalWeb"/>
              <w:spacing w:before="0" w:beforeAutospacing="0" w:after="0" w:afterAutospacing="0"/>
              <w:ind w:left="144" w:right="144"/>
              <w:jc w:val="both"/>
              <w:rPr>
                <w:rFonts w:ascii="Roboto" w:hAnsi="Roboto"/>
                <w:color w:val="404040" w:themeColor="text1" w:themeTint="BF"/>
                <w:sz w:val="22"/>
                <w:szCs w:val="22"/>
                <w:lang w:val="en-GB"/>
              </w:rPr>
            </w:pPr>
            <w:r w:rsidRPr="003C206F">
              <w:rPr>
                <w:rFonts w:ascii="Roboto" w:hAnsi="Roboto"/>
                <w:color w:val="404040" w:themeColor="text1" w:themeTint="BF"/>
                <w:sz w:val="21"/>
                <w:szCs w:val="21"/>
                <w:lang w:val="en-GB"/>
              </w:rPr>
              <w:t xml:space="preserve">There are data availability issues regarding the SDG/SDR indicators that correspond to SDG 16 </w:t>
            </w:r>
            <w:r w:rsidRPr="003C206F">
              <w:rPr>
                <w:rFonts w:ascii="Roboto" w:hAnsi="Roboto"/>
                <w:i/>
                <w:color w:val="404040" w:themeColor="text1" w:themeTint="BF"/>
                <w:sz w:val="21"/>
                <w:szCs w:val="21"/>
                <w:lang w:val="en-GB"/>
              </w:rPr>
              <w:t>birth registrations with civil authority</w:t>
            </w:r>
            <w:r w:rsidRPr="003C206F">
              <w:rPr>
                <w:rFonts w:ascii="Roboto" w:hAnsi="Roboto"/>
                <w:color w:val="404040" w:themeColor="text1" w:themeTint="BF"/>
                <w:sz w:val="21"/>
                <w:szCs w:val="21"/>
                <w:lang w:val="en-GB"/>
              </w:rPr>
              <w:t xml:space="preserve">, </w:t>
            </w:r>
            <w:r w:rsidRPr="003C206F">
              <w:rPr>
                <w:rFonts w:ascii="Roboto" w:hAnsi="Roboto"/>
                <w:i/>
                <w:color w:val="404040" w:themeColor="text1" w:themeTint="BF"/>
                <w:sz w:val="21"/>
                <w:szCs w:val="21"/>
                <w:lang w:val="en-GB"/>
              </w:rPr>
              <w:t>children involved in child labour</w:t>
            </w:r>
            <w:r w:rsidRPr="003C206F">
              <w:rPr>
                <w:rFonts w:ascii="Roboto" w:hAnsi="Roboto"/>
                <w:color w:val="404040" w:themeColor="text1" w:themeTint="BF"/>
                <w:sz w:val="21"/>
                <w:szCs w:val="21"/>
                <w:lang w:val="en-GB"/>
              </w:rPr>
              <w:t xml:space="preserve">, and </w:t>
            </w:r>
            <w:r w:rsidRPr="003C206F">
              <w:rPr>
                <w:rFonts w:ascii="Roboto" w:hAnsi="Roboto"/>
                <w:i/>
                <w:color w:val="404040" w:themeColor="text1" w:themeTint="BF"/>
                <w:sz w:val="21"/>
                <w:szCs w:val="21"/>
                <w:lang w:val="en-GB"/>
              </w:rPr>
              <w:t>access to and affordability of justice</w:t>
            </w:r>
            <w:r w:rsidRPr="003C206F">
              <w:rPr>
                <w:rFonts w:ascii="Roboto" w:hAnsi="Roboto"/>
                <w:color w:val="404040" w:themeColor="text1" w:themeTint="BF"/>
                <w:sz w:val="21"/>
                <w:szCs w:val="21"/>
                <w:lang w:val="en-GB"/>
              </w:rPr>
              <w:t xml:space="preserve">. There are data availability issues regarding the SDG/SDR 17 indicator </w:t>
            </w:r>
            <w:r w:rsidRPr="003C206F">
              <w:rPr>
                <w:rFonts w:ascii="Roboto" w:hAnsi="Roboto"/>
                <w:i/>
                <w:color w:val="404040" w:themeColor="text1" w:themeTint="BF"/>
                <w:sz w:val="21"/>
                <w:szCs w:val="21"/>
                <w:lang w:val="en-GB"/>
              </w:rPr>
              <w:t>government revenue excluding grants</w:t>
            </w:r>
            <w:r w:rsidRPr="003C206F">
              <w:rPr>
                <w:rFonts w:ascii="Roboto" w:hAnsi="Roboto"/>
                <w:color w:val="404040" w:themeColor="text1" w:themeTint="BF"/>
                <w:sz w:val="21"/>
                <w:szCs w:val="21"/>
                <w:lang w:val="en-GB"/>
              </w:rPr>
              <w:t>.</w:t>
            </w:r>
          </w:p>
        </w:tc>
      </w:tr>
    </w:tbl>
    <w:p w14:paraId="7F5D3D69" w14:textId="464B2A9C" w:rsidR="00871C7A" w:rsidRPr="003C206F" w:rsidRDefault="00871C7A" w:rsidP="00893DE2">
      <w:pPr>
        <w:jc w:val="both"/>
        <w:rPr>
          <w:rFonts w:ascii="Roboto" w:hAnsi="Roboto" w:cs="Calibri"/>
          <w:color w:val="404040" w:themeColor="text1" w:themeTint="BF"/>
          <w:sz w:val="21"/>
          <w:szCs w:val="21"/>
          <w:lang w:val="en-GB"/>
        </w:rPr>
        <w:sectPr w:rsidR="00871C7A" w:rsidRPr="003C206F" w:rsidSect="00EB2ED3">
          <w:type w:val="continuous"/>
          <w:pgSz w:w="11906" w:h="16838"/>
          <w:pgMar w:top="1440" w:right="1440" w:bottom="1440" w:left="1440" w:header="720" w:footer="720" w:gutter="0"/>
          <w:cols w:space="720"/>
          <w:noEndnote/>
          <w:titlePg/>
          <w:docGrid w:linePitch="326"/>
        </w:sectPr>
      </w:pPr>
    </w:p>
    <w:p w14:paraId="14855336" w14:textId="77777777" w:rsidR="00871C7A" w:rsidRDefault="00871C7A" w:rsidP="00893DE2">
      <w:pPr>
        <w:tabs>
          <w:tab w:val="left" w:pos="3670"/>
        </w:tabs>
        <w:rPr>
          <w:rFonts w:ascii="Roboto" w:hAnsi="Roboto"/>
          <w:color w:val="404040" w:themeColor="text1" w:themeTint="BF"/>
          <w:sz w:val="21"/>
          <w:szCs w:val="21"/>
          <w:lang w:val="en-GB"/>
        </w:rPr>
      </w:pPr>
    </w:p>
    <w:p w14:paraId="00F4660A" w14:textId="77777777" w:rsidR="004E37E0" w:rsidRPr="003C206F" w:rsidRDefault="004E37E0" w:rsidP="004E37E0">
      <w:pPr>
        <w:jc w:val="both"/>
        <w:rPr>
          <w:rFonts w:ascii="Roboto" w:hAnsi="Roboto" w:cs="Calibri"/>
          <w:color w:val="404040" w:themeColor="text1" w:themeTint="BF"/>
          <w:sz w:val="21"/>
          <w:szCs w:val="21"/>
          <w:lang w:val="en-GB"/>
        </w:rPr>
        <w:sectPr w:rsidR="004E37E0" w:rsidRPr="003C206F" w:rsidSect="00EB2ED3">
          <w:type w:val="continuous"/>
          <w:pgSz w:w="11906" w:h="16838"/>
          <w:pgMar w:top="1440" w:right="1440" w:bottom="1440" w:left="1440" w:header="720" w:footer="720" w:gutter="0"/>
          <w:cols w:space="720"/>
          <w:noEndnote/>
          <w:titlePg/>
          <w:docGrid w:linePitch="326"/>
        </w:sectPr>
      </w:pPr>
    </w:p>
    <w:p w14:paraId="1726BF58" w14:textId="5935A80E" w:rsidR="003A5596" w:rsidRDefault="001A40DE" w:rsidP="00464AC3">
      <w:pPr>
        <w:tabs>
          <w:tab w:val="left" w:pos="3670"/>
        </w:tabs>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M</w:t>
      </w:r>
      <w:r w:rsidR="003A5596">
        <w:rPr>
          <w:rFonts w:ascii="Roboto" w:hAnsi="Roboto"/>
          <w:color w:val="404040" w:themeColor="text1" w:themeTint="BF"/>
          <w:sz w:val="21"/>
          <w:szCs w:val="21"/>
          <w:lang w:val="en-GB"/>
        </w:rPr>
        <w:t>any countries are facing similar data availability challenges</w:t>
      </w:r>
      <w:r w:rsidR="003A5596" w:rsidRPr="003A5596">
        <w:rPr>
          <w:rFonts w:ascii="Roboto" w:hAnsi="Roboto"/>
          <w:color w:val="404040" w:themeColor="text1" w:themeTint="BF"/>
          <w:sz w:val="21"/>
          <w:szCs w:val="21"/>
          <w:lang w:val="en-GB"/>
        </w:rPr>
        <w:t xml:space="preserve">. </w:t>
      </w:r>
      <w:r w:rsidR="003A5596">
        <w:rPr>
          <w:rFonts w:ascii="Roboto" w:hAnsi="Roboto"/>
          <w:color w:val="404040" w:themeColor="text1" w:themeTint="BF"/>
          <w:sz w:val="21"/>
          <w:szCs w:val="21"/>
          <w:lang w:val="en-GB"/>
        </w:rPr>
        <w:t xml:space="preserve">However, it is impossible to measure progress on the SDGs without data. The </w:t>
      </w:r>
      <w:r w:rsidR="003A5596" w:rsidRPr="003A5596">
        <w:rPr>
          <w:rFonts w:ascii="Roboto" w:hAnsi="Roboto"/>
          <w:color w:val="404040" w:themeColor="text1" w:themeTint="BF"/>
          <w:sz w:val="21"/>
          <w:szCs w:val="21"/>
          <w:lang w:val="en-GB"/>
        </w:rPr>
        <w:t>Sustainable Development</w:t>
      </w:r>
      <w:r w:rsidR="003A5596">
        <w:rPr>
          <w:rFonts w:ascii="Roboto" w:hAnsi="Roboto"/>
          <w:color w:val="404040" w:themeColor="text1" w:themeTint="BF"/>
          <w:sz w:val="21"/>
          <w:szCs w:val="21"/>
          <w:lang w:val="en-GB"/>
        </w:rPr>
        <w:t xml:space="preserve"> Report (SDR) has begun to address data challenges measuring progress on the SDGs by supplementing SDG Indicator data with alternative data sources beyond those provided by the UN. Through </w:t>
      </w:r>
      <w:r w:rsidR="00A25CCA">
        <w:rPr>
          <w:rFonts w:ascii="Roboto" w:hAnsi="Roboto"/>
          <w:color w:val="404040" w:themeColor="text1" w:themeTint="BF"/>
          <w:sz w:val="21"/>
          <w:szCs w:val="21"/>
          <w:lang w:val="en-GB"/>
        </w:rPr>
        <w:t xml:space="preserve">this supplementation, </w:t>
      </w:r>
      <w:r w:rsidR="003A5596">
        <w:rPr>
          <w:rFonts w:ascii="Roboto" w:hAnsi="Roboto"/>
          <w:color w:val="404040" w:themeColor="text1" w:themeTint="BF"/>
          <w:sz w:val="21"/>
          <w:szCs w:val="21"/>
          <w:lang w:val="en-GB"/>
        </w:rPr>
        <w:t xml:space="preserve">the SDR has been able to provide the best snapshot of SDG progress at the country level. </w:t>
      </w:r>
      <w:r w:rsidR="00A25CCA">
        <w:rPr>
          <w:rFonts w:ascii="Roboto" w:hAnsi="Roboto"/>
          <w:color w:val="404040" w:themeColor="text1" w:themeTint="BF"/>
          <w:sz w:val="21"/>
          <w:szCs w:val="21"/>
          <w:lang w:val="en-GB"/>
        </w:rPr>
        <w:t xml:space="preserve">In the context </w:t>
      </w:r>
      <w:r w:rsidR="003A5596">
        <w:rPr>
          <w:rFonts w:ascii="Roboto" w:hAnsi="Roboto"/>
          <w:color w:val="404040" w:themeColor="text1" w:themeTint="BF"/>
          <w:sz w:val="21"/>
          <w:szCs w:val="21"/>
          <w:lang w:val="en-GB"/>
        </w:rPr>
        <w:t>of the KSA</w:t>
      </w:r>
      <w:r w:rsidR="00A25CCA">
        <w:rPr>
          <w:rFonts w:ascii="Roboto" w:hAnsi="Roboto"/>
          <w:color w:val="404040" w:themeColor="text1" w:themeTint="BF"/>
          <w:sz w:val="21"/>
          <w:szCs w:val="21"/>
          <w:lang w:val="en-GB"/>
        </w:rPr>
        <w:t>,</w:t>
      </w:r>
      <w:r w:rsidR="003A5596">
        <w:rPr>
          <w:rFonts w:ascii="Roboto" w:hAnsi="Roboto"/>
          <w:color w:val="404040" w:themeColor="text1" w:themeTint="BF"/>
          <w:sz w:val="21"/>
          <w:szCs w:val="21"/>
          <w:lang w:val="en-GB"/>
        </w:rPr>
        <w:t xml:space="preserve"> and as evident from the list of SDR/SDG Indicators above, 12 of 92 (13.0%) Indicators are unavailable; in addition, 4 of 92 (4.3%) Indicators are older than ten years.</w:t>
      </w:r>
      <w:r w:rsidR="003A5596" w:rsidRPr="003A5596">
        <w:rPr>
          <w:rFonts w:ascii="Roboto" w:hAnsi="Roboto"/>
          <w:color w:val="404040" w:themeColor="text1" w:themeTint="BF"/>
          <w:sz w:val="21"/>
          <w:szCs w:val="21"/>
          <w:lang w:val="en-GB"/>
        </w:rPr>
        <w:t xml:space="preserve"> </w:t>
      </w:r>
      <w:r w:rsidR="003A5596">
        <w:rPr>
          <w:rFonts w:ascii="Roboto" w:hAnsi="Roboto"/>
          <w:color w:val="404040" w:themeColor="text1" w:themeTint="BF"/>
          <w:sz w:val="21"/>
          <w:szCs w:val="21"/>
          <w:lang w:val="en-GB"/>
        </w:rPr>
        <w:t xml:space="preserve">Therefore, 16 of the 92 (17.4%) SDR/SDG Indicators face data availability challenges for the KSA. </w:t>
      </w:r>
    </w:p>
    <w:p w14:paraId="7A7D1658" w14:textId="77777777" w:rsidR="00062147" w:rsidRPr="003A5596" w:rsidRDefault="00062147" w:rsidP="00464AC3">
      <w:pPr>
        <w:tabs>
          <w:tab w:val="left" w:pos="3670"/>
        </w:tabs>
        <w:jc w:val="both"/>
        <w:rPr>
          <w:rFonts w:ascii="Roboto" w:hAnsi="Roboto"/>
          <w:color w:val="404040" w:themeColor="text1" w:themeTint="BF"/>
          <w:sz w:val="21"/>
          <w:szCs w:val="21"/>
          <w:lang w:val="en-GB"/>
        </w:rPr>
      </w:pPr>
    </w:p>
    <w:p w14:paraId="3AFB4395" w14:textId="51B7921B" w:rsidR="004E37E0" w:rsidRDefault="002724DE" w:rsidP="00016585">
      <w:pPr>
        <w:tabs>
          <w:tab w:val="left" w:pos="3670"/>
        </w:tabs>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 xml:space="preserve">Addressing the data availability challenges specific to the </w:t>
      </w:r>
      <w:r w:rsidR="003A5596" w:rsidRPr="003A5596">
        <w:rPr>
          <w:rFonts w:ascii="Roboto" w:hAnsi="Roboto"/>
          <w:color w:val="404040" w:themeColor="text1" w:themeTint="BF"/>
          <w:sz w:val="21"/>
          <w:szCs w:val="21"/>
          <w:lang w:val="en-GB"/>
        </w:rPr>
        <w:t>KSA</w:t>
      </w:r>
      <w:r>
        <w:rPr>
          <w:rFonts w:ascii="Roboto" w:hAnsi="Roboto"/>
          <w:color w:val="404040" w:themeColor="text1" w:themeTint="BF"/>
          <w:sz w:val="21"/>
          <w:szCs w:val="21"/>
          <w:lang w:val="en-GB"/>
        </w:rPr>
        <w:t>, the Government of the KSA</w:t>
      </w:r>
      <w:r w:rsidR="003A5596" w:rsidRPr="003A5596">
        <w:rPr>
          <w:rFonts w:ascii="Roboto" w:hAnsi="Roboto"/>
          <w:color w:val="404040" w:themeColor="text1" w:themeTint="BF"/>
          <w:sz w:val="21"/>
          <w:szCs w:val="21"/>
          <w:lang w:val="en-GB"/>
        </w:rPr>
        <w:t xml:space="preserve"> has developed a mechanical approach for producing SDG progress reports and data coverage to create a tangible impact on both national and international levels. The systematic process will assess the </w:t>
      </w:r>
      <w:r>
        <w:rPr>
          <w:rFonts w:ascii="Roboto" w:hAnsi="Roboto"/>
          <w:color w:val="404040" w:themeColor="text1" w:themeTint="BF"/>
          <w:sz w:val="21"/>
          <w:szCs w:val="21"/>
          <w:lang w:val="en-GB"/>
        </w:rPr>
        <w:t>KSA</w:t>
      </w:r>
      <w:r w:rsidR="00A45AA3">
        <w:rPr>
          <w:rFonts w:ascii="Roboto" w:hAnsi="Roboto"/>
          <w:color w:val="404040" w:themeColor="text1" w:themeTint="BF"/>
          <w:sz w:val="21"/>
          <w:szCs w:val="21"/>
          <w:lang w:val="en-GB"/>
        </w:rPr>
        <w:t>'s</w:t>
      </w:r>
      <w:r>
        <w:rPr>
          <w:rFonts w:ascii="Roboto" w:hAnsi="Roboto"/>
          <w:color w:val="404040" w:themeColor="text1" w:themeTint="BF"/>
          <w:sz w:val="21"/>
          <w:szCs w:val="21"/>
          <w:lang w:val="en-GB"/>
        </w:rPr>
        <w:t xml:space="preserve"> progress on the SDGs through</w:t>
      </w:r>
      <w:r w:rsidR="003A5596" w:rsidRPr="003A5596">
        <w:rPr>
          <w:rFonts w:ascii="Roboto" w:hAnsi="Roboto"/>
          <w:color w:val="404040" w:themeColor="text1" w:themeTint="BF"/>
          <w:sz w:val="21"/>
          <w:szCs w:val="21"/>
          <w:lang w:val="en-GB"/>
        </w:rPr>
        <w:t xml:space="preserve"> the SD</w:t>
      </w:r>
      <w:r>
        <w:rPr>
          <w:rFonts w:ascii="Roboto" w:hAnsi="Roboto"/>
          <w:color w:val="404040" w:themeColor="text1" w:themeTint="BF"/>
          <w:sz w:val="21"/>
          <w:szCs w:val="21"/>
          <w:lang w:val="en-GB"/>
        </w:rPr>
        <w:t>R scoring and ranking sy</w:t>
      </w:r>
      <w:r w:rsidR="00A45AA3">
        <w:rPr>
          <w:rFonts w:ascii="Roboto" w:hAnsi="Roboto"/>
          <w:color w:val="404040" w:themeColor="text1" w:themeTint="BF"/>
          <w:sz w:val="21"/>
          <w:szCs w:val="21"/>
          <w:lang w:val="en-GB"/>
        </w:rPr>
        <w:t>s</w:t>
      </w:r>
      <w:r>
        <w:rPr>
          <w:rFonts w:ascii="Roboto" w:hAnsi="Roboto"/>
          <w:color w:val="404040" w:themeColor="text1" w:themeTint="BF"/>
          <w:sz w:val="21"/>
          <w:szCs w:val="21"/>
          <w:lang w:val="en-GB"/>
        </w:rPr>
        <w:t>tem</w:t>
      </w:r>
      <w:r w:rsidR="003A5596" w:rsidRPr="003A5596">
        <w:rPr>
          <w:rFonts w:ascii="Roboto" w:hAnsi="Roboto"/>
          <w:color w:val="404040" w:themeColor="text1" w:themeTint="BF"/>
          <w:sz w:val="21"/>
          <w:szCs w:val="21"/>
          <w:lang w:val="en-GB"/>
        </w:rPr>
        <w:t>. The</w:t>
      </w:r>
      <w:r w:rsidR="00A45AA3">
        <w:rPr>
          <w:rFonts w:ascii="Roboto" w:hAnsi="Roboto"/>
          <w:color w:val="404040" w:themeColor="text1" w:themeTint="BF"/>
          <w:sz w:val="21"/>
          <w:szCs w:val="21"/>
          <w:lang w:val="en-GB"/>
        </w:rPr>
        <w:t xml:space="preserve"> KSA’s Government expects to make considerable advances in data availability and overall SDR performance between 2022 and 2024.</w:t>
      </w:r>
    </w:p>
    <w:p w14:paraId="545C7C94" w14:textId="77777777" w:rsidR="004E37E0" w:rsidRDefault="004E37E0" w:rsidP="004E37E0">
      <w:pPr>
        <w:rPr>
          <w:rFonts w:ascii="Roboto" w:hAnsi="Roboto"/>
          <w:color w:val="404040" w:themeColor="text1" w:themeTint="BF"/>
          <w:sz w:val="21"/>
          <w:szCs w:val="21"/>
          <w:lang w:val="en-GB"/>
        </w:rPr>
      </w:pPr>
    </w:p>
    <w:p w14:paraId="7B2409B6" w14:textId="77777777" w:rsidR="004E37E0" w:rsidRDefault="004E37E0" w:rsidP="004E37E0">
      <w:pPr>
        <w:rPr>
          <w:rFonts w:ascii="Roboto" w:hAnsi="Roboto"/>
          <w:color w:val="404040" w:themeColor="text1" w:themeTint="BF"/>
          <w:sz w:val="21"/>
          <w:szCs w:val="21"/>
          <w:lang w:val="en-GB"/>
        </w:rPr>
      </w:pPr>
    </w:p>
    <w:p w14:paraId="1334C7D0" w14:textId="1EBB5A56" w:rsidR="004E37E0" w:rsidRPr="004E37E0" w:rsidRDefault="004E37E0" w:rsidP="004E37E0">
      <w:pPr>
        <w:rPr>
          <w:rFonts w:ascii="Roboto" w:hAnsi="Roboto"/>
          <w:sz w:val="21"/>
          <w:szCs w:val="21"/>
          <w:lang w:val="en-GB"/>
        </w:rPr>
        <w:sectPr w:rsidR="004E37E0" w:rsidRPr="004E37E0" w:rsidSect="00EB2ED3">
          <w:type w:val="continuous"/>
          <w:pgSz w:w="11906" w:h="16838"/>
          <w:pgMar w:top="1440" w:right="1440" w:bottom="1440" w:left="1440" w:header="720" w:footer="720" w:gutter="0"/>
          <w:cols w:space="720"/>
          <w:noEndnote/>
          <w:docGrid w:linePitch="326"/>
        </w:sectPr>
      </w:pPr>
    </w:p>
    <w:p w14:paraId="41184A58" w14:textId="315638B2" w:rsidR="00871C7A" w:rsidRPr="003C206F" w:rsidRDefault="00871C7A">
      <w:pPr>
        <w:rPr>
          <w:rFonts w:ascii="Roboto" w:hAnsi="Roboto"/>
          <w:b/>
          <w:bCs/>
          <w:color w:val="404040" w:themeColor="text1" w:themeTint="BF"/>
          <w:lang w:val="en-GB"/>
        </w:rPr>
      </w:pPr>
      <w:r>
        <w:rPr>
          <w:rFonts w:ascii="Roboto" w:hAnsi="Roboto"/>
          <w:b/>
          <w:bCs/>
          <w:noProof/>
          <w:color w:val="404040" w:themeColor="text1" w:themeTint="BF"/>
          <w:lang w:val="en-GB"/>
        </w:rPr>
        <w:lastRenderedPageBreak/>
        <w:drawing>
          <wp:anchor distT="0" distB="0" distL="114300" distR="114300" simplePos="0" relativeHeight="251741262" behindDoc="1" locked="0" layoutInCell="1" allowOverlap="1" wp14:anchorId="21E4816A" wp14:editId="103549B0">
            <wp:simplePos x="0" y="0"/>
            <wp:positionH relativeFrom="column">
              <wp:posOffset>-914400</wp:posOffset>
            </wp:positionH>
            <wp:positionV relativeFrom="paragraph">
              <wp:posOffset>-904127</wp:posOffset>
            </wp:positionV>
            <wp:extent cx="7559218" cy="10696881"/>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29">
                      <a:extLst>
                        <a:ext uri="{28A0092B-C50C-407E-A947-70E740481C1C}">
                          <a14:useLocalDpi xmlns:a14="http://schemas.microsoft.com/office/drawing/2010/main" val="0"/>
                        </a:ext>
                      </a:extLst>
                    </a:blip>
                    <a:stretch>
                      <a:fillRect/>
                    </a:stretch>
                  </pic:blipFill>
                  <pic:spPr>
                    <a:xfrm>
                      <a:off x="0" y="0"/>
                      <a:ext cx="7587446" cy="10736825"/>
                    </a:xfrm>
                    <a:prstGeom prst="rect">
                      <a:avLst/>
                    </a:prstGeom>
                  </pic:spPr>
                </pic:pic>
              </a:graphicData>
            </a:graphic>
            <wp14:sizeRelH relativeFrom="page">
              <wp14:pctWidth>0</wp14:pctWidth>
            </wp14:sizeRelH>
            <wp14:sizeRelV relativeFrom="page">
              <wp14:pctHeight>0</wp14:pctHeight>
            </wp14:sizeRelV>
          </wp:anchor>
        </w:drawing>
      </w:r>
    </w:p>
    <w:p w14:paraId="0AE3E270" w14:textId="3778DCF3" w:rsidR="00871C7A" w:rsidRPr="003C206F" w:rsidRDefault="00871C7A" w:rsidP="00002997">
      <w:pPr>
        <w:jc w:val="both"/>
        <w:rPr>
          <w:rFonts w:ascii="Roboto" w:hAnsi="Roboto"/>
          <w:b/>
          <w:bCs/>
          <w:color w:val="404040" w:themeColor="text1" w:themeTint="BF"/>
          <w:lang w:val="en-GB"/>
        </w:rPr>
      </w:pPr>
    </w:p>
    <w:p w14:paraId="637290C4" w14:textId="512156C0" w:rsidR="00871C7A" w:rsidRPr="003C206F" w:rsidRDefault="00871C7A" w:rsidP="00002997">
      <w:pPr>
        <w:rPr>
          <w:rFonts w:ascii="Roboto" w:hAnsi="Roboto"/>
          <w:b/>
          <w:bCs/>
          <w:color w:val="404040" w:themeColor="text1" w:themeTint="BF"/>
          <w:lang w:val="en-GB"/>
        </w:rPr>
      </w:pPr>
    </w:p>
    <w:p w14:paraId="05558B84" w14:textId="15151ECF" w:rsidR="00871C7A" w:rsidRPr="003C206F" w:rsidRDefault="00871C7A">
      <w:pPr>
        <w:rPr>
          <w:rFonts w:ascii="Roboto" w:hAnsi="Roboto"/>
          <w:b/>
          <w:bCs/>
          <w:color w:val="404040" w:themeColor="text1" w:themeTint="BF"/>
          <w:lang w:val="en-GB"/>
        </w:rPr>
      </w:pPr>
    </w:p>
    <w:p w14:paraId="1C27B82C" w14:textId="1F8E5FC6" w:rsidR="00871C7A" w:rsidRPr="003C206F" w:rsidRDefault="00871C7A">
      <w:pPr>
        <w:rPr>
          <w:rFonts w:ascii="Roboto" w:hAnsi="Roboto"/>
          <w:b/>
          <w:bCs/>
          <w:color w:val="404040" w:themeColor="text1" w:themeTint="BF"/>
          <w:lang w:val="en-GB"/>
        </w:rPr>
      </w:pPr>
    </w:p>
    <w:p w14:paraId="249C9CCC" w14:textId="5878E356" w:rsidR="00871C7A" w:rsidRPr="003C206F" w:rsidRDefault="00871C7A">
      <w:pPr>
        <w:rPr>
          <w:rFonts w:ascii="Roboto" w:hAnsi="Roboto"/>
          <w:b/>
          <w:bCs/>
          <w:color w:val="404040" w:themeColor="text1" w:themeTint="BF"/>
          <w:lang w:val="en-GB"/>
        </w:rPr>
      </w:pPr>
    </w:p>
    <w:p w14:paraId="573CB14B" w14:textId="5044009A" w:rsidR="00871C7A" w:rsidRPr="003C206F" w:rsidRDefault="00871C7A" w:rsidP="00DE7ED9">
      <w:pPr>
        <w:rPr>
          <w:rFonts w:ascii="Roboto" w:hAnsi="Roboto"/>
          <w:b/>
          <w:bCs/>
          <w:color w:val="404040" w:themeColor="text1" w:themeTint="BF"/>
          <w:lang w:val="en-GB"/>
        </w:rPr>
        <w:sectPr w:rsidR="00871C7A" w:rsidRPr="003C206F" w:rsidSect="00EB2ED3">
          <w:pgSz w:w="11900" w:h="16820"/>
          <w:pgMar w:top="1440" w:right="1440" w:bottom="1440" w:left="1440" w:header="720" w:footer="720" w:gutter="0"/>
          <w:cols w:space="720"/>
          <w:noEndnote/>
          <w:docGrid w:linePitch="360"/>
        </w:sectPr>
      </w:pPr>
      <w:r w:rsidRPr="003C206F">
        <w:rPr>
          <w:rFonts w:ascii="Roboto" w:hAnsi="Roboto"/>
          <w:b/>
          <w:noProof/>
          <w:color w:val="404040" w:themeColor="text1" w:themeTint="BF"/>
          <w:lang w:val="en-GB"/>
        </w:rPr>
        <mc:AlternateContent>
          <mc:Choice Requires="wps">
            <w:drawing>
              <wp:anchor distT="0" distB="0" distL="114300" distR="114300" simplePos="0" relativeHeight="251671630" behindDoc="0" locked="0" layoutInCell="1" allowOverlap="1" wp14:anchorId="4942ECF6" wp14:editId="07C596AD">
                <wp:simplePos x="0" y="0"/>
                <wp:positionH relativeFrom="column">
                  <wp:posOffset>520815</wp:posOffset>
                </wp:positionH>
                <wp:positionV relativeFrom="paragraph">
                  <wp:posOffset>1877118</wp:posOffset>
                </wp:positionV>
                <wp:extent cx="2913380" cy="2527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13380" cy="2527300"/>
                        </a:xfrm>
                        <a:prstGeom prst="rect">
                          <a:avLst/>
                        </a:prstGeom>
                        <a:noFill/>
                        <a:ln w="6350">
                          <a:noFill/>
                        </a:ln>
                      </wps:spPr>
                      <wps:txbx>
                        <w:txbxContent>
                          <w:p w14:paraId="6F10AC6F" w14:textId="0A195B25" w:rsidR="00C74675" w:rsidRPr="0000729D" w:rsidRDefault="00227EB8" w:rsidP="00C45584">
                            <w:pPr>
                              <w:pStyle w:val="Heading1"/>
                              <w:rPr>
                                <w:rFonts w:ascii="Roboto" w:hAnsi="Roboto"/>
                                <w:b/>
                                <w:bCs/>
                                <w:color w:val="FFFFFF" w:themeColor="background1"/>
                                <w:sz w:val="56"/>
                                <w:szCs w:val="56"/>
                              </w:rPr>
                            </w:pPr>
                            <w:bookmarkStart w:id="41" w:name="_Toc85548177"/>
                            <w:bookmarkStart w:id="42" w:name="_Toc85548597"/>
                            <w:bookmarkStart w:id="43" w:name="_Toc85624123"/>
                            <w:bookmarkStart w:id="44" w:name="_Toc85624753"/>
                            <w:bookmarkStart w:id="45" w:name="_Toc85624829"/>
                            <w:bookmarkStart w:id="46" w:name="_Toc85625635"/>
                            <w:bookmarkStart w:id="47" w:name="_Toc86691505"/>
                            <w:bookmarkStart w:id="48" w:name="_Toc88667604"/>
                            <w:bookmarkStart w:id="49" w:name="_Toc92289484"/>
                            <w:bookmarkStart w:id="50" w:name="_Toc94103123"/>
                            <w:bookmarkStart w:id="51" w:name="_Toc94103238"/>
                            <w:bookmarkStart w:id="52" w:name="_Toc105333774"/>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2</w:t>
                            </w:r>
                            <w:bookmarkEnd w:id="41"/>
                            <w:bookmarkEnd w:id="42"/>
                            <w:bookmarkEnd w:id="43"/>
                            <w:bookmarkEnd w:id="44"/>
                            <w:bookmarkEnd w:id="45"/>
                            <w:bookmarkEnd w:id="46"/>
                            <w:bookmarkEnd w:id="47"/>
                            <w:bookmarkEnd w:id="48"/>
                            <w:bookmarkEnd w:id="49"/>
                            <w:bookmarkEnd w:id="50"/>
                            <w:bookmarkEnd w:id="51"/>
                            <w:bookmarkEnd w:id="52"/>
                          </w:p>
                          <w:p w14:paraId="6DB40D4A" w14:textId="694FEDF8" w:rsidR="00C74675" w:rsidRPr="005666BE" w:rsidRDefault="00C74675" w:rsidP="00C45584">
                            <w:pPr>
                              <w:pStyle w:val="KSASubHead2-Blue"/>
                              <w:rPr>
                                <w:sz w:val="36"/>
                                <w:szCs w:val="21"/>
                              </w:rPr>
                            </w:pPr>
                            <w:r w:rsidRPr="00C45584">
                              <w:t>UN</w:t>
                            </w:r>
                            <w:r>
                              <w:t xml:space="preserve"> </w:t>
                            </w:r>
                            <w:r w:rsidRPr="00C45584">
                              <w:t xml:space="preserve">DEVELOPMENT SYSTEM SUPPORT TO THE </w:t>
                            </w:r>
                            <w:r w:rsidR="006D7206">
                              <w:t>UN</w:t>
                            </w:r>
                            <w:r w:rsidR="006D7206">
                              <w:t>’</w:t>
                            </w:r>
                            <w:r w:rsidR="006D7206">
                              <w:t xml:space="preserve">s </w:t>
                            </w:r>
                            <w:r w:rsidRPr="00C45584">
                              <w:t>2030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2ECF6" id="Text Box 18" o:spid="_x0000_s1028" type="#_x0000_t202" style="position:absolute;margin-left:41pt;margin-top:147.8pt;width:229.4pt;height:199pt;z-index:2516716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" filled="f" stroked="f" strokeweight=".5pt">
                <v:textbox>
                  <w:txbxContent>
                    <w:p w14:paraId="6F10AC6F" w14:textId="0A195B25" w:rsidR="00C74675" w:rsidRPr="0000729D" w:rsidRDefault="00227EB8" w:rsidP="00C45584">
                      <w:pPr>
                        <w:pStyle w:val="Heading1"/>
                        <w:rPr>
                          <w:rFonts w:ascii="Roboto" w:hAnsi="Roboto"/>
                          <w:b/>
                          <w:bCs/>
                          <w:color w:val="FFFFFF" w:themeColor="background1"/>
                          <w:sz w:val="56"/>
                          <w:szCs w:val="56"/>
                        </w:rPr>
                      </w:pPr>
                      <w:bookmarkStart w:id="53" w:name="_Toc85548177"/>
                      <w:bookmarkStart w:id="54" w:name="_Toc85548597"/>
                      <w:bookmarkStart w:id="55" w:name="_Toc85624123"/>
                      <w:bookmarkStart w:id="56" w:name="_Toc85624753"/>
                      <w:bookmarkStart w:id="57" w:name="_Toc85624829"/>
                      <w:bookmarkStart w:id="58" w:name="_Toc85625635"/>
                      <w:bookmarkStart w:id="59" w:name="_Toc86691505"/>
                      <w:bookmarkStart w:id="60" w:name="_Toc88667604"/>
                      <w:bookmarkStart w:id="61" w:name="_Toc92289484"/>
                      <w:bookmarkStart w:id="62" w:name="_Toc94103123"/>
                      <w:bookmarkStart w:id="63" w:name="_Toc94103238"/>
                      <w:bookmarkStart w:id="64" w:name="_Toc105333774"/>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2</w:t>
                      </w:r>
                      <w:bookmarkEnd w:id="53"/>
                      <w:bookmarkEnd w:id="54"/>
                      <w:bookmarkEnd w:id="55"/>
                      <w:bookmarkEnd w:id="56"/>
                      <w:bookmarkEnd w:id="57"/>
                      <w:bookmarkEnd w:id="58"/>
                      <w:bookmarkEnd w:id="59"/>
                      <w:bookmarkEnd w:id="60"/>
                      <w:bookmarkEnd w:id="61"/>
                      <w:bookmarkEnd w:id="62"/>
                      <w:bookmarkEnd w:id="63"/>
                      <w:bookmarkEnd w:id="64"/>
                    </w:p>
                    <w:p w14:paraId="6DB40D4A" w14:textId="694FEDF8" w:rsidR="00C74675" w:rsidRPr="005666BE" w:rsidRDefault="00C74675" w:rsidP="00C45584">
                      <w:pPr>
                        <w:pStyle w:val="KSASubHead2-Blue"/>
                        <w:rPr>
                          <w:sz w:val="36"/>
                          <w:szCs w:val="21"/>
                        </w:rPr>
                      </w:pPr>
                      <w:r w:rsidRPr="00C45584">
                        <w:t>UN</w:t>
                      </w:r>
                      <w:r>
                        <w:t xml:space="preserve"> </w:t>
                      </w:r>
                      <w:r w:rsidRPr="00C45584">
                        <w:t xml:space="preserve">DEVELOPMENT SYSTEM SUPPORT TO THE </w:t>
                      </w:r>
                      <w:r w:rsidR="006D7206">
                        <w:t>UN</w:t>
                      </w:r>
                      <w:r w:rsidR="006D7206">
                        <w:t>’</w:t>
                      </w:r>
                      <w:r w:rsidR="006D7206">
                        <w:t xml:space="preserve">s </w:t>
                      </w:r>
                      <w:r w:rsidRPr="00C45584">
                        <w:t>2030 AGENDA</w:t>
                      </w:r>
                    </w:p>
                  </w:txbxContent>
                </v:textbox>
              </v:shape>
            </w:pict>
          </mc:Fallback>
        </mc:AlternateContent>
      </w:r>
      <w:r w:rsidRPr="003C206F">
        <w:rPr>
          <w:rFonts w:ascii="Roboto" w:hAnsi="Roboto"/>
          <w:b/>
          <w:bCs/>
          <w:color w:val="404040" w:themeColor="text1" w:themeTint="BF"/>
          <w:lang w:val="en-GB"/>
        </w:rPr>
        <w:br w:type="page"/>
      </w:r>
    </w:p>
    <w:p w14:paraId="7AB856D1" w14:textId="1C6A5AC5" w:rsidR="009433D1" w:rsidRPr="00416CCF" w:rsidRDefault="009433D1" w:rsidP="009433D1">
      <w:pPr>
        <w:pStyle w:val="Heading1"/>
        <w:spacing w:before="0"/>
        <w:rPr>
          <w:rFonts w:ascii="Roboto" w:hAnsi="Roboto" w:cs="Calibri"/>
          <w:b/>
          <w:bCs/>
          <w:color w:val="4472C4" w:themeColor="accent1"/>
          <w:sz w:val="26"/>
          <w:szCs w:val="26"/>
          <w:lang w:val="en-GB"/>
        </w:rPr>
      </w:pPr>
      <w:bookmarkStart w:id="65" w:name="_Toc92277963"/>
      <w:bookmarkStart w:id="66" w:name="_Toc105333775"/>
      <w:r w:rsidRPr="00416CCF">
        <w:rPr>
          <w:rFonts w:ascii="Roboto" w:hAnsi="Roboto" w:cs="Calibri"/>
          <w:b/>
          <w:bCs/>
          <w:color w:val="4472C4" w:themeColor="accent1"/>
          <w:sz w:val="26"/>
          <w:szCs w:val="26"/>
          <w:lang w:val="en-GB"/>
        </w:rPr>
        <w:lastRenderedPageBreak/>
        <w:t>CHAPTER 2: UN DEVELOPMENT SYSTEM SUPPORT TO THE</w:t>
      </w:r>
      <w:r w:rsidR="006B3569">
        <w:rPr>
          <w:rFonts w:ascii="Roboto" w:hAnsi="Roboto" w:cs="Calibri"/>
          <w:b/>
          <w:bCs/>
          <w:color w:val="4472C4" w:themeColor="accent1"/>
          <w:sz w:val="26"/>
          <w:szCs w:val="26"/>
          <w:lang w:val="en-GB"/>
        </w:rPr>
        <w:t xml:space="preserve"> </w:t>
      </w:r>
      <w:r w:rsidR="003937FA">
        <w:rPr>
          <w:rFonts w:ascii="Roboto" w:hAnsi="Roboto" w:cs="Calibri"/>
          <w:b/>
          <w:bCs/>
          <w:color w:val="4472C4" w:themeColor="accent1"/>
          <w:sz w:val="26"/>
          <w:szCs w:val="26"/>
          <w:lang w:val="en-GB"/>
        </w:rPr>
        <w:t>UN’s</w:t>
      </w:r>
      <w:r w:rsidRPr="00416CCF">
        <w:rPr>
          <w:rFonts w:ascii="Roboto" w:hAnsi="Roboto" w:cs="Calibri"/>
          <w:b/>
          <w:bCs/>
          <w:color w:val="4472C4" w:themeColor="accent1"/>
          <w:sz w:val="26"/>
          <w:szCs w:val="26"/>
          <w:lang w:val="en-GB"/>
        </w:rPr>
        <w:t xml:space="preserve"> 2030 AGENDA</w:t>
      </w:r>
      <w:bookmarkEnd w:id="65"/>
      <w:bookmarkEnd w:id="66"/>
      <w:r w:rsidRPr="00416CCF">
        <w:rPr>
          <w:rFonts w:ascii="Roboto" w:hAnsi="Roboto" w:cs="Calibri"/>
          <w:b/>
          <w:bCs/>
          <w:color w:val="4472C4" w:themeColor="accent1"/>
          <w:sz w:val="26"/>
          <w:szCs w:val="26"/>
          <w:lang w:val="en-GB"/>
        </w:rPr>
        <w:t> </w:t>
      </w:r>
    </w:p>
    <w:p w14:paraId="0CE77D53" w14:textId="77777777" w:rsidR="009433D1" w:rsidRDefault="009433D1" w:rsidP="009433D1">
      <w:pPr>
        <w:rPr>
          <w:rFonts w:eastAsiaTheme="majorEastAsia"/>
          <w:color w:val="404040" w:themeColor="text1" w:themeTint="BF"/>
          <w:lang w:val="en-GB"/>
        </w:rPr>
      </w:pPr>
    </w:p>
    <w:p w14:paraId="27BF941F" w14:textId="79D2A4B9" w:rsidR="009433D1" w:rsidRPr="00073AAF" w:rsidRDefault="009433D1" w:rsidP="009433D1">
      <w:pPr>
        <w:keepNext/>
        <w:keepLines/>
        <w:spacing w:before="200" w:after="200"/>
        <w:outlineLvl w:val="1"/>
        <w:rPr>
          <w:rFonts w:ascii="Roboto" w:eastAsiaTheme="majorEastAsia" w:hAnsi="Roboto" w:cstheme="majorBidi"/>
          <w:b/>
          <w:bCs/>
          <w:color w:val="404040" w:themeColor="text1" w:themeTint="BF"/>
          <w:sz w:val="26"/>
          <w:szCs w:val="26"/>
          <w:lang w:val="en-GB"/>
        </w:rPr>
      </w:pPr>
      <w:bookmarkStart w:id="67" w:name="_Toc92277964"/>
      <w:bookmarkStart w:id="68" w:name="_Toc105333776"/>
      <w:r w:rsidRPr="00073AAF">
        <w:rPr>
          <w:rFonts w:ascii="Roboto" w:eastAsiaTheme="majorEastAsia" w:hAnsi="Roboto" w:cs="Calibri"/>
          <w:b/>
          <w:bCs/>
          <w:color w:val="404040" w:themeColor="text1" w:themeTint="BF"/>
          <w:lang w:val="en-GB"/>
        </w:rPr>
        <w:t>2.</w:t>
      </w:r>
      <w:r>
        <w:rPr>
          <w:rFonts w:ascii="Roboto" w:eastAsiaTheme="majorEastAsia" w:hAnsi="Roboto" w:cs="Calibri"/>
          <w:b/>
          <w:bCs/>
          <w:color w:val="404040" w:themeColor="text1" w:themeTint="BF"/>
          <w:lang w:val="en-GB"/>
        </w:rPr>
        <w:t>1</w:t>
      </w:r>
      <w:r w:rsidRPr="00073AAF">
        <w:rPr>
          <w:rFonts w:ascii="Roboto" w:eastAsiaTheme="majorEastAsia" w:hAnsi="Roboto" w:cs="Calibri"/>
          <w:b/>
          <w:bCs/>
          <w:color w:val="404040" w:themeColor="text1" w:themeTint="BF"/>
          <w:lang w:val="en-GB"/>
        </w:rPr>
        <w:t xml:space="preserve">. </w:t>
      </w:r>
      <w:r>
        <w:rPr>
          <w:rFonts w:ascii="Roboto" w:eastAsiaTheme="majorEastAsia" w:hAnsi="Roboto" w:cs="Calibri"/>
          <w:b/>
          <w:bCs/>
          <w:color w:val="404040" w:themeColor="text1" w:themeTint="BF"/>
          <w:lang w:val="en-GB"/>
        </w:rPr>
        <w:t>I</w:t>
      </w:r>
      <w:r w:rsidRPr="00073AAF">
        <w:rPr>
          <w:rFonts w:ascii="Roboto" w:eastAsiaTheme="majorEastAsia" w:hAnsi="Roboto" w:cs="Calibri"/>
          <w:b/>
          <w:bCs/>
          <w:color w:val="404040" w:themeColor="text1" w:themeTint="BF"/>
          <w:lang w:val="en-GB"/>
        </w:rPr>
        <w:t>dentifying the UNSDCF Four Strategic Priorities Areas</w:t>
      </w:r>
      <w:bookmarkEnd w:id="67"/>
      <w:bookmarkEnd w:id="68"/>
    </w:p>
    <w:p w14:paraId="7BA24139" w14:textId="79D16F62" w:rsidR="009433D1" w:rsidRPr="00073AAF" w:rsidRDefault="009433D1" w:rsidP="009433D1">
      <w:pPr>
        <w:jc w:val="both"/>
        <w:rPr>
          <w:rFonts w:ascii="Roboto" w:hAnsi="Roboto"/>
          <w:color w:val="404040" w:themeColor="text1" w:themeTint="BF"/>
          <w:lang w:val="en-GB"/>
        </w:rPr>
      </w:pPr>
      <w:r w:rsidRPr="00073AAF">
        <w:rPr>
          <w:rFonts w:ascii="Roboto" w:hAnsi="Roboto" w:cs="Calibri"/>
          <w:color w:val="404040" w:themeColor="text1" w:themeTint="BF"/>
          <w:sz w:val="21"/>
          <w:szCs w:val="21"/>
          <w:lang w:val="en-GB"/>
        </w:rPr>
        <w:t>The Theory of Change exercise is one in which a long-term strategy to achieve a series of goals is constructed by working backward from defined future objectives. The UNSDCF’s goals are clear: the achievement of the UN</w:t>
      </w:r>
      <w:r w:rsidR="002704D0">
        <w:rPr>
          <w:rFonts w:ascii="Roboto" w:hAnsi="Roboto" w:cs="Calibri"/>
          <w:color w:val="404040" w:themeColor="text1" w:themeTint="BF"/>
          <w:sz w:val="21"/>
          <w:szCs w:val="21"/>
          <w:lang w:val="en-GB"/>
        </w:rPr>
        <w:t>’s</w:t>
      </w:r>
      <w:r w:rsidRPr="00073AAF">
        <w:rPr>
          <w:rFonts w:ascii="Roboto" w:hAnsi="Roboto" w:cs="Calibri"/>
          <w:color w:val="404040" w:themeColor="text1" w:themeTint="BF"/>
          <w:sz w:val="21"/>
          <w:szCs w:val="21"/>
          <w:lang w:val="en-GB"/>
        </w:rPr>
        <w:t xml:space="preserve"> 2030 Agenda and complementary progress towards the KSA’s Vision 2030. The goals are operationalized in the form of the 17 SDGs, which have been mapped onto the ‘5Ps’ and ultimately organized into four Strategic Priority Areas. This section will unpack the process that </w:t>
      </w:r>
      <w:r w:rsidR="006B3569">
        <w:rPr>
          <w:rFonts w:ascii="Roboto" w:hAnsi="Roboto" w:cs="Calibri"/>
          <w:color w:val="404040" w:themeColor="text1" w:themeTint="BF"/>
          <w:sz w:val="21"/>
          <w:szCs w:val="21"/>
          <w:lang w:val="en-GB"/>
        </w:rPr>
        <w:t>led to</w:t>
      </w:r>
      <w:r w:rsidRPr="00073AAF">
        <w:rPr>
          <w:rFonts w:ascii="Roboto" w:hAnsi="Roboto" w:cs="Calibri"/>
          <w:color w:val="404040" w:themeColor="text1" w:themeTint="BF"/>
          <w:sz w:val="21"/>
          <w:szCs w:val="21"/>
          <w:lang w:val="en-GB"/>
        </w:rPr>
        <w:t xml:space="preserve"> the four Strategic Priority Areas and, thus, the strategy to contribute to the co-achievement of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and </w:t>
      </w:r>
      <w:r w:rsidR="00E719CA">
        <w:rPr>
          <w:rFonts w:ascii="Roboto" w:hAnsi="Roboto" w:cs="Calibri"/>
          <w:color w:val="404040" w:themeColor="text1" w:themeTint="BF"/>
          <w:sz w:val="21"/>
          <w:szCs w:val="21"/>
          <w:lang w:val="en-GB"/>
        </w:rPr>
        <w:t xml:space="preserve">KSA’s </w:t>
      </w:r>
      <w:r w:rsidRPr="00073AAF">
        <w:rPr>
          <w:rFonts w:ascii="Roboto" w:hAnsi="Roboto" w:cs="Calibri"/>
          <w:color w:val="404040" w:themeColor="text1" w:themeTint="BF"/>
          <w:sz w:val="21"/>
          <w:szCs w:val="21"/>
          <w:lang w:val="en-GB"/>
        </w:rPr>
        <w:t>Vision 2030. </w:t>
      </w:r>
    </w:p>
    <w:p w14:paraId="1AAD315A" w14:textId="77777777" w:rsidR="009433D1" w:rsidRPr="00073AAF" w:rsidRDefault="009433D1" w:rsidP="009433D1">
      <w:pPr>
        <w:rPr>
          <w:rFonts w:ascii="Roboto" w:hAnsi="Roboto"/>
          <w:color w:val="404040" w:themeColor="text1" w:themeTint="BF"/>
          <w:lang w:val="en-GB"/>
        </w:rPr>
      </w:pPr>
    </w:p>
    <w:p w14:paraId="014B171A" w14:textId="25F36672" w:rsidR="009433D1" w:rsidRPr="00073AAF" w:rsidRDefault="009433D1" w:rsidP="009433D1">
      <w:pPr>
        <w:jc w:val="both"/>
        <w:rPr>
          <w:rFonts w:ascii="Roboto" w:hAnsi="Roboto"/>
          <w:color w:val="404040" w:themeColor="text1" w:themeTint="BF"/>
          <w:lang w:val="en-GB"/>
        </w:rPr>
      </w:pPr>
      <w:r w:rsidRPr="00073AAF">
        <w:rPr>
          <w:rFonts w:ascii="Roboto" w:hAnsi="Roboto" w:cs="Calibri"/>
          <w:color w:val="404040" w:themeColor="text1" w:themeTint="BF"/>
          <w:sz w:val="21"/>
          <w:szCs w:val="21"/>
          <w:lang w:val="en-GB"/>
        </w:rPr>
        <w:t>The earliest stage of this process was to establish a baseline for key socio-economic, environmental, and governance areas for the KSA. The UNCT identified 23 broad challenges and opportunities specific to the KSA through the lens of the SDGs. These 23 areas should not be considered in silos</w:t>
      </w:r>
      <w:r w:rsidR="006B3569">
        <w:rPr>
          <w:rFonts w:ascii="Roboto" w:hAnsi="Roboto" w:cs="Calibri"/>
          <w:color w:val="404040" w:themeColor="text1" w:themeTint="BF"/>
          <w:sz w:val="21"/>
          <w:szCs w:val="21"/>
          <w:lang w:val="en-GB"/>
        </w:rPr>
        <w:t>. Rather, it</w:t>
      </w:r>
      <w:r w:rsidRPr="00073AAF">
        <w:rPr>
          <w:rFonts w:ascii="Roboto" w:hAnsi="Roboto" w:cs="Calibri"/>
          <w:color w:val="404040" w:themeColor="text1" w:themeTint="BF"/>
          <w:sz w:val="21"/>
          <w:szCs w:val="21"/>
          <w:lang w:val="en-GB"/>
        </w:rPr>
        <w:t xml:space="preserve"> should be viewed in a manner that leverages their interlinkages. From there, mutually reinforcing connections and policy bundles should be identified for greater policy effectiveness and efficiency. </w:t>
      </w:r>
    </w:p>
    <w:p w14:paraId="38C1E5E9" w14:textId="77777777" w:rsidR="009433D1" w:rsidRPr="00073AAF" w:rsidRDefault="009433D1" w:rsidP="009433D1">
      <w:pPr>
        <w:rPr>
          <w:rFonts w:ascii="Roboto" w:hAnsi="Roboto"/>
          <w:color w:val="404040" w:themeColor="text1" w:themeTint="BF"/>
          <w:lang w:val="en-GB"/>
        </w:rPr>
      </w:pPr>
    </w:p>
    <w:p w14:paraId="019DEE98" w14:textId="52C217CB" w:rsidR="009433D1" w:rsidRPr="00073AAF" w:rsidRDefault="009433D1" w:rsidP="009433D1">
      <w:pPr>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The question of how to group the previously identified development challenges and opportunities while maintaining a scope that accommodates existing UN activities was resolved through the creation of a classification system that is exhaustive, exclusive, and clearly linked to both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and </w:t>
      </w:r>
      <w:r w:rsidR="00E719CA">
        <w:rPr>
          <w:rFonts w:ascii="Roboto" w:hAnsi="Roboto" w:cs="Calibri"/>
          <w:color w:val="404040" w:themeColor="text1" w:themeTint="BF"/>
          <w:sz w:val="21"/>
          <w:szCs w:val="21"/>
          <w:lang w:val="en-GB"/>
        </w:rPr>
        <w:t xml:space="preserve">KSA’s </w:t>
      </w:r>
      <w:r w:rsidRPr="00073AAF">
        <w:rPr>
          <w:rFonts w:ascii="Roboto" w:hAnsi="Roboto" w:cs="Calibri"/>
          <w:color w:val="404040" w:themeColor="text1" w:themeTint="BF"/>
          <w:sz w:val="21"/>
          <w:szCs w:val="21"/>
          <w:lang w:val="en-GB"/>
        </w:rPr>
        <w:t xml:space="preserve">Vision 2030. The UN developed the </w:t>
      </w:r>
      <w:r w:rsidRPr="00073AAF">
        <w:rPr>
          <w:rFonts w:ascii="Roboto" w:hAnsi="Roboto" w:cs="Calibri"/>
          <w:color w:val="404040" w:themeColor="text1" w:themeTint="BF"/>
          <w:sz w:val="22"/>
          <w:szCs w:val="22"/>
          <w:lang w:val="en-GB"/>
        </w:rPr>
        <w:t>UNSDCF’</w:t>
      </w:r>
      <w:r w:rsidRPr="00073AAF">
        <w:rPr>
          <w:rFonts w:ascii="Roboto" w:hAnsi="Roboto" w:cs="Calibri"/>
          <w:color w:val="404040" w:themeColor="text1" w:themeTint="BF"/>
          <w:sz w:val="21"/>
          <w:szCs w:val="21"/>
          <w:lang w:val="en-GB"/>
        </w:rPr>
        <w:t xml:space="preserve">s four Strategic Priority Areas with this in mind: on the level of UN activities, this document and its Strategic Priority Areas are </w:t>
      </w:r>
      <w:r w:rsidRPr="00073AAF">
        <w:rPr>
          <w:rFonts w:ascii="Roboto" w:hAnsi="Roboto"/>
          <w:color w:val="404040" w:themeColor="text1" w:themeTint="BF"/>
          <w:sz w:val="21"/>
          <w:szCs w:val="21"/>
          <w:lang w:val="en-GB"/>
        </w:rPr>
        <w:t xml:space="preserve">multidimensional </w:t>
      </w:r>
      <w:r w:rsidRPr="00073AAF">
        <w:rPr>
          <w:rFonts w:ascii="Roboto" w:hAnsi="Roboto" w:cs="Calibri"/>
          <w:color w:val="404040" w:themeColor="text1" w:themeTint="BF"/>
          <w:sz w:val="21"/>
          <w:szCs w:val="21"/>
          <w:lang w:val="en-GB"/>
        </w:rPr>
        <w:t xml:space="preserve">in both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and the KSA’s Vision 2030 (see Annex B). To ensure that the UNSDCF can be operationalized and measured in terms of both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and the KSA’s Vision 2030, a rigorous substructure had to be decided upon. In the case of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2030 Agenda, the 17 SDGs constitute its substructure: the 23 broad areas that pose both challenges and opportunities to the KSA can be easily mapped onto the 17 SDGs. As for the KSA’s Vision 2030, 27 Level 2 ‘branch objectives’ constitute its substructure. From these two substructures, the UN identified their linkages and cross-linkages to develop an aggregation system for all UN work at the activity level. Here, for simplicity, the 17 SDGs substructure is used to aggregate UN activities into Strategic Priority Areas. </w:t>
      </w:r>
    </w:p>
    <w:p w14:paraId="22D6FF15" w14:textId="77777777" w:rsidR="009433D1" w:rsidRPr="00073AAF" w:rsidRDefault="009433D1" w:rsidP="009433D1">
      <w:pPr>
        <w:rPr>
          <w:rFonts w:ascii="Roboto" w:hAnsi="Roboto"/>
          <w:color w:val="404040" w:themeColor="text1" w:themeTint="BF"/>
          <w:lang w:val="en-GB"/>
        </w:rPr>
      </w:pPr>
    </w:p>
    <w:p w14:paraId="2D049582" w14:textId="27AFC8C0" w:rsidR="009433D1" w:rsidRPr="00073AAF" w:rsidRDefault="009433D1" w:rsidP="009433D1">
      <w:pPr>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and the ‘5Ps’ – People, Planet, Prosperity, Peace, and Partnership – provide the basis of the aggregation system relied upon in this document. The UN in the KSA mapped the SDGs onto the ‘5Ps’, ultimately arriving at four Strategic Priority Areas and their accompanying Outcome Statements: </w:t>
      </w:r>
    </w:p>
    <w:p w14:paraId="23E86924" w14:textId="77777777" w:rsidR="009433D1" w:rsidRPr="00073AAF" w:rsidRDefault="009433D1" w:rsidP="009433D1">
      <w:pPr>
        <w:rPr>
          <w:rFonts w:ascii="Roboto" w:hAnsi="Roboto" w:cs="Calibri"/>
          <w:b/>
          <w:color w:val="404040" w:themeColor="text1" w:themeTint="BF"/>
          <w:sz w:val="21"/>
          <w:szCs w:val="21"/>
          <w:lang w:val="en-GB"/>
        </w:rPr>
      </w:pPr>
      <w:r w:rsidRPr="00073AAF">
        <w:rPr>
          <w:rFonts w:ascii="Roboto" w:hAnsi="Roboto" w:cs="Calibri"/>
          <w:b/>
          <w:color w:val="404040" w:themeColor="text1" w:themeTint="BF"/>
          <w:sz w:val="21"/>
          <w:szCs w:val="21"/>
          <w:lang w:val="en-GB"/>
        </w:rPr>
        <w:br w:type="page"/>
      </w:r>
    </w:p>
    <w:tbl>
      <w:tblPr>
        <w:tblStyle w:val="TableGrid"/>
        <w:tblW w:w="0" w:type="auto"/>
        <w:tblBorders>
          <w:top w:val="single" w:sz="24" w:space="0" w:color="26BDE2"/>
          <w:left w:val="single" w:sz="24" w:space="0" w:color="26BDE2"/>
          <w:bottom w:val="single" w:sz="24" w:space="0" w:color="26BDE2"/>
          <w:right w:val="single" w:sz="24" w:space="0" w:color="26BDE2"/>
          <w:insideH w:val="single" w:sz="24" w:space="0" w:color="26BDE2"/>
          <w:insideV w:val="single" w:sz="24" w:space="0" w:color="26BDE2"/>
        </w:tblBorders>
        <w:tblLook w:val="04A0" w:firstRow="1" w:lastRow="0" w:firstColumn="1" w:lastColumn="0" w:noHBand="0" w:noVBand="1"/>
      </w:tblPr>
      <w:tblGrid>
        <w:gridCol w:w="469"/>
        <w:gridCol w:w="8491"/>
      </w:tblGrid>
      <w:tr w:rsidR="009433D1" w:rsidRPr="00073AAF" w14:paraId="19EA3973" w14:textId="77777777" w:rsidTr="005A5556">
        <w:trPr>
          <w:trHeight w:val="994"/>
        </w:trPr>
        <w:tc>
          <w:tcPr>
            <w:tcW w:w="469" w:type="dxa"/>
            <w:shd w:val="clear" w:color="auto" w:fill="26BDE2"/>
            <w:vAlign w:val="center"/>
          </w:tcPr>
          <w:p w14:paraId="26166229" w14:textId="77777777" w:rsidR="009433D1" w:rsidRPr="00073AAF" w:rsidRDefault="009433D1" w:rsidP="005A5556">
            <w:pPr>
              <w:jc w:val="center"/>
              <w:rPr>
                <w:rFonts w:ascii="Roboto" w:hAnsi="Roboto" w:cs="Calibri"/>
                <w:b/>
                <w:color w:val="404040" w:themeColor="text1" w:themeTint="BF"/>
                <w:sz w:val="44"/>
                <w:szCs w:val="44"/>
                <w:lang w:val="en-GB"/>
              </w:rPr>
            </w:pPr>
            <w:r w:rsidRPr="00073AAF">
              <w:rPr>
                <w:rFonts w:ascii="Roboto" w:hAnsi="Roboto" w:cs="Calibri"/>
                <w:b/>
                <w:color w:val="FFFFFF" w:themeColor="background1"/>
                <w:sz w:val="44"/>
                <w:szCs w:val="44"/>
                <w:lang w:val="en-GB"/>
              </w:rPr>
              <w:lastRenderedPageBreak/>
              <w:t>1</w:t>
            </w:r>
          </w:p>
        </w:tc>
        <w:tc>
          <w:tcPr>
            <w:tcW w:w="8491" w:type="dxa"/>
          </w:tcPr>
          <w:p w14:paraId="43C07315" w14:textId="12F25BFB" w:rsidR="009433D1" w:rsidRPr="00073AAF" w:rsidRDefault="009433D1" w:rsidP="005A5556">
            <w:pPr>
              <w:pBdr>
                <w:bottom w:val="single" w:sz="4" w:space="1" w:color="auto"/>
              </w:pBdr>
              <w:spacing w:before="240"/>
              <w:ind w:left="288" w:right="288"/>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Strategic Priority Area 1: People — </w:t>
            </w:r>
            <w:r w:rsidR="00541BB7">
              <w:rPr>
                <w:rFonts w:ascii="Roboto" w:hAnsi="Roboto" w:cs="Calibri"/>
                <w:color w:val="404040" w:themeColor="text1" w:themeTint="BF"/>
                <w:sz w:val="21"/>
                <w:szCs w:val="21"/>
                <w:lang w:val="en-GB"/>
              </w:rPr>
              <w:t>A</w:t>
            </w:r>
            <w:r w:rsidRPr="00073AAF">
              <w:rPr>
                <w:rFonts w:ascii="Roboto" w:hAnsi="Roboto" w:cs="Calibri"/>
                <w:color w:val="404040" w:themeColor="text1" w:themeTint="BF"/>
                <w:sz w:val="21"/>
                <w:szCs w:val="21"/>
                <w:lang w:val="en-GB"/>
              </w:rPr>
              <w:t>ccording to the principles of ‘Leave No One Behind’ (LNOB), ensure that all human beings can fulfil their potential in dignity, equity, and equality in a healthy environment (SDGs 1–5)</w:t>
            </w:r>
            <w:r w:rsidR="00CE2577">
              <w:rPr>
                <w:rFonts w:ascii="Roboto" w:hAnsi="Roboto" w:cs="Calibri"/>
                <w:color w:val="404040" w:themeColor="text1" w:themeTint="BF"/>
                <w:sz w:val="21"/>
                <w:szCs w:val="21"/>
                <w:lang w:val="en-GB"/>
              </w:rPr>
              <w:t>.</w:t>
            </w:r>
          </w:p>
          <w:p w14:paraId="490BC6F4" w14:textId="77777777" w:rsidR="009433D1" w:rsidRPr="00073AAF" w:rsidRDefault="009433D1" w:rsidP="005A5556">
            <w:pPr>
              <w:pBdr>
                <w:bottom w:val="single" w:sz="4" w:space="1" w:color="auto"/>
              </w:pBdr>
              <w:spacing w:after="240"/>
              <w:ind w:left="288" w:right="288"/>
              <w:jc w:val="both"/>
              <w:rPr>
                <w:rFonts w:ascii="Roboto" w:hAnsi="Roboto" w:cs="Calibri"/>
                <w:color w:val="404040" w:themeColor="text1" w:themeTint="BF"/>
                <w:sz w:val="21"/>
                <w:szCs w:val="21"/>
                <w:lang w:val="en-GB"/>
              </w:rPr>
            </w:pPr>
          </w:p>
          <w:p w14:paraId="63DC6A63" w14:textId="2A6BA951" w:rsidR="009433D1" w:rsidRPr="00073AAF" w:rsidRDefault="009433D1" w:rsidP="005A5556">
            <w:pPr>
              <w:spacing w:before="240" w:after="240"/>
              <w:ind w:left="288" w:right="288"/>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Outcome Statement 1: All human beings are further enabled to fulfil their potential in dignity, equity, and equality in a healthy environment</w:t>
            </w:r>
            <w:r w:rsidR="00CE2577">
              <w:rPr>
                <w:rFonts w:ascii="Roboto" w:hAnsi="Roboto" w:cs="Calibri"/>
                <w:color w:val="404040" w:themeColor="text1" w:themeTint="BF"/>
                <w:sz w:val="21"/>
                <w:szCs w:val="21"/>
                <w:lang w:val="en-GB"/>
              </w:rPr>
              <w:t>.</w:t>
            </w:r>
          </w:p>
        </w:tc>
      </w:tr>
    </w:tbl>
    <w:p w14:paraId="49AAB051" w14:textId="77777777" w:rsidR="009433D1" w:rsidRPr="00073AAF" w:rsidRDefault="009433D1" w:rsidP="009433D1">
      <w:pPr>
        <w:jc w:val="both"/>
        <w:rPr>
          <w:rFonts w:ascii="Roboto" w:hAnsi="Roboto" w:cs="Calibri"/>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1"/>
      </w:tblGrid>
      <w:tr w:rsidR="009433D1" w:rsidRPr="00073AAF" w14:paraId="0E73D51F" w14:textId="77777777" w:rsidTr="005A5556">
        <w:trPr>
          <w:trHeight w:val="994"/>
        </w:trPr>
        <w:tc>
          <w:tcPr>
            <w:tcW w:w="420" w:type="dxa"/>
            <w:tcBorders>
              <w:top w:val="single" w:sz="24" w:space="0" w:color="FF3A21"/>
              <w:left w:val="single" w:sz="24" w:space="0" w:color="FF3A21"/>
              <w:bottom w:val="single" w:sz="24" w:space="0" w:color="FF3A21"/>
              <w:right w:val="single" w:sz="24" w:space="0" w:color="FF3A21"/>
            </w:tcBorders>
            <w:shd w:val="clear" w:color="auto" w:fill="FF3A21"/>
            <w:vAlign w:val="center"/>
          </w:tcPr>
          <w:p w14:paraId="343AEE77" w14:textId="77777777" w:rsidR="009433D1" w:rsidRPr="00073AAF" w:rsidRDefault="009433D1" w:rsidP="005A5556">
            <w:pPr>
              <w:jc w:val="center"/>
              <w:rPr>
                <w:rFonts w:ascii="Roboto" w:hAnsi="Roboto" w:cs="Calibri"/>
                <w:b/>
                <w:color w:val="FFFFFF" w:themeColor="background1"/>
                <w:sz w:val="44"/>
                <w:szCs w:val="44"/>
                <w:lang w:val="en-GB"/>
              </w:rPr>
            </w:pPr>
            <w:r w:rsidRPr="00073AAF">
              <w:rPr>
                <w:rFonts w:ascii="Roboto" w:hAnsi="Roboto" w:cs="Calibri"/>
                <w:b/>
                <w:color w:val="FFFFFF" w:themeColor="background1"/>
                <w:sz w:val="44"/>
                <w:szCs w:val="44"/>
                <w:lang w:val="en-GB"/>
              </w:rPr>
              <w:t>2</w:t>
            </w:r>
          </w:p>
        </w:tc>
        <w:tc>
          <w:tcPr>
            <w:tcW w:w="9260" w:type="dxa"/>
            <w:tcBorders>
              <w:top w:val="single" w:sz="24" w:space="0" w:color="FF3A21"/>
              <w:left w:val="single" w:sz="24" w:space="0" w:color="FF3A21"/>
              <w:bottom w:val="single" w:sz="24" w:space="0" w:color="FF3A21"/>
              <w:right w:val="single" w:sz="24" w:space="0" w:color="FF3A21"/>
            </w:tcBorders>
          </w:tcPr>
          <w:p w14:paraId="53DB194E" w14:textId="76BF7160" w:rsidR="009433D1" w:rsidRPr="00073AAF" w:rsidRDefault="009433D1" w:rsidP="005A5556">
            <w:pPr>
              <w:pBdr>
                <w:bottom w:val="single" w:sz="4" w:space="1" w:color="auto"/>
              </w:pBdr>
              <w:spacing w:before="240"/>
              <w:ind w:left="288" w:right="288"/>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Strategic Priority Area 2: Planet — </w:t>
            </w:r>
            <w:r w:rsidR="00541BB7">
              <w:rPr>
                <w:rFonts w:ascii="Roboto" w:hAnsi="Roboto" w:cs="Calibri"/>
                <w:color w:val="404040" w:themeColor="text1" w:themeTint="BF"/>
                <w:sz w:val="21"/>
                <w:szCs w:val="21"/>
                <w:lang w:val="en-GB"/>
              </w:rPr>
              <w:t>P</w:t>
            </w:r>
            <w:r w:rsidRPr="00073AAF">
              <w:rPr>
                <w:rFonts w:ascii="Roboto" w:hAnsi="Roboto" w:cs="Calibri"/>
                <w:color w:val="404040" w:themeColor="text1" w:themeTint="BF"/>
                <w:sz w:val="21"/>
                <w:szCs w:val="21"/>
                <w:lang w:val="en-GB"/>
              </w:rPr>
              <w:t>rotect the planet from degradation, including through sustainable consumption and production, sustainably manage its natural resources, and take urgent action on climate change (SDGs 6, 12–15)</w:t>
            </w:r>
            <w:r w:rsidR="00CE2577">
              <w:rPr>
                <w:rFonts w:ascii="Roboto" w:hAnsi="Roboto" w:cs="Calibri"/>
                <w:color w:val="404040" w:themeColor="text1" w:themeTint="BF"/>
                <w:sz w:val="21"/>
                <w:szCs w:val="21"/>
                <w:lang w:val="en-GB"/>
              </w:rPr>
              <w:t>.</w:t>
            </w:r>
          </w:p>
          <w:p w14:paraId="1766A985" w14:textId="77777777" w:rsidR="009433D1" w:rsidRPr="00073AAF" w:rsidRDefault="009433D1" w:rsidP="005A5556">
            <w:pPr>
              <w:pBdr>
                <w:bottom w:val="single" w:sz="4" w:space="1" w:color="auto"/>
              </w:pBdr>
              <w:ind w:left="288" w:right="288"/>
              <w:jc w:val="both"/>
              <w:rPr>
                <w:rFonts w:ascii="Roboto" w:hAnsi="Roboto" w:cs="Calibri"/>
                <w:color w:val="404040" w:themeColor="text1" w:themeTint="BF"/>
                <w:sz w:val="21"/>
                <w:szCs w:val="21"/>
                <w:lang w:val="en-GB"/>
              </w:rPr>
            </w:pPr>
          </w:p>
          <w:p w14:paraId="5882012C" w14:textId="3AF589A9" w:rsidR="009433D1" w:rsidRPr="00073AAF" w:rsidRDefault="009433D1" w:rsidP="005A5556">
            <w:pPr>
              <w:spacing w:before="240" w:after="240"/>
              <w:ind w:left="288" w:right="288"/>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Outcome Statement 2: The environment is better protected from degradation</w:t>
            </w:r>
            <w:r w:rsidR="00D03A1E" w:rsidRPr="00073AAF">
              <w:rPr>
                <w:rFonts w:ascii="Roboto" w:hAnsi="Roboto" w:cs="Calibri"/>
                <w:color w:val="404040" w:themeColor="text1" w:themeTint="BF"/>
                <w:sz w:val="21"/>
                <w:szCs w:val="21"/>
                <w:lang w:val="en-GB"/>
              </w:rPr>
              <w:t xml:space="preserve"> </w:t>
            </w:r>
            <w:r w:rsidRPr="00073AAF">
              <w:rPr>
                <w:rFonts w:ascii="Roboto" w:hAnsi="Roboto" w:cs="Calibri"/>
                <w:color w:val="404040" w:themeColor="text1" w:themeTint="BF"/>
                <w:sz w:val="21"/>
                <w:szCs w:val="21"/>
                <w:lang w:val="en-GB"/>
              </w:rPr>
              <w:t>through sustainable consumption and production, sustainably managing its natural resources, and taking urgent action on climate change</w:t>
            </w:r>
            <w:r w:rsidR="00CE2577">
              <w:rPr>
                <w:rFonts w:ascii="Roboto" w:hAnsi="Roboto" w:cs="Calibri"/>
                <w:color w:val="404040" w:themeColor="text1" w:themeTint="BF"/>
                <w:sz w:val="21"/>
                <w:szCs w:val="21"/>
                <w:lang w:val="en-GB"/>
              </w:rPr>
              <w:t>.</w:t>
            </w:r>
          </w:p>
        </w:tc>
      </w:tr>
    </w:tbl>
    <w:p w14:paraId="0CC3BB77" w14:textId="77777777" w:rsidR="009433D1" w:rsidRPr="00073AAF" w:rsidRDefault="009433D1" w:rsidP="009433D1">
      <w:pPr>
        <w:jc w:val="both"/>
        <w:rPr>
          <w:rFonts w:ascii="Roboto" w:hAnsi="Roboto" w:cs="Calibri"/>
          <w:b/>
          <w:color w:val="404040" w:themeColor="text1" w:themeTint="BF"/>
          <w:sz w:val="10"/>
          <w:szCs w:val="10"/>
          <w:lang w:val="en-GB"/>
        </w:rPr>
      </w:pPr>
    </w:p>
    <w:tbl>
      <w:tblPr>
        <w:tblStyle w:val="TableGrid"/>
        <w:tblW w:w="0" w:type="auto"/>
        <w:tblBorders>
          <w:top w:val="single" w:sz="24" w:space="0" w:color="4C9F38"/>
          <w:left w:val="single" w:sz="24" w:space="0" w:color="4C9F38"/>
          <w:bottom w:val="single" w:sz="24" w:space="0" w:color="4C9F38"/>
          <w:right w:val="single" w:sz="24" w:space="0" w:color="4C9F38"/>
          <w:insideH w:val="single" w:sz="24" w:space="0" w:color="4C9F38"/>
          <w:insideV w:val="single" w:sz="24" w:space="0" w:color="4C9F38"/>
        </w:tblBorders>
        <w:tblLook w:val="04A0" w:firstRow="1" w:lastRow="0" w:firstColumn="1" w:lastColumn="0" w:noHBand="0" w:noVBand="1"/>
      </w:tblPr>
      <w:tblGrid>
        <w:gridCol w:w="469"/>
        <w:gridCol w:w="8491"/>
      </w:tblGrid>
      <w:tr w:rsidR="009433D1" w:rsidRPr="00073AAF" w14:paraId="279BB7D4" w14:textId="77777777" w:rsidTr="005A5556">
        <w:trPr>
          <w:trHeight w:val="994"/>
        </w:trPr>
        <w:tc>
          <w:tcPr>
            <w:tcW w:w="420" w:type="dxa"/>
            <w:shd w:val="clear" w:color="auto" w:fill="4C9F38"/>
            <w:vAlign w:val="center"/>
          </w:tcPr>
          <w:p w14:paraId="4BFB765B" w14:textId="77777777" w:rsidR="009433D1" w:rsidRPr="00073AAF" w:rsidRDefault="009433D1" w:rsidP="005A5556">
            <w:pPr>
              <w:jc w:val="center"/>
              <w:rPr>
                <w:rFonts w:ascii="Roboto" w:hAnsi="Roboto" w:cs="Calibri"/>
                <w:b/>
                <w:color w:val="404040" w:themeColor="text1" w:themeTint="BF"/>
                <w:sz w:val="44"/>
                <w:szCs w:val="44"/>
                <w:lang w:val="en-GB"/>
              </w:rPr>
            </w:pPr>
            <w:r w:rsidRPr="00073AAF">
              <w:rPr>
                <w:rFonts w:ascii="Roboto" w:hAnsi="Roboto" w:cs="Calibri"/>
                <w:b/>
                <w:color w:val="FFFFFF" w:themeColor="background1"/>
                <w:sz w:val="44"/>
                <w:szCs w:val="44"/>
                <w:lang w:val="en-GB"/>
              </w:rPr>
              <w:t>3</w:t>
            </w:r>
          </w:p>
        </w:tc>
        <w:tc>
          <w:tcPr>
            <w:tcW w:w="9260" w:type="dxa"/>
            <w:vAlign w:val="center"/>
          </w:tcPr>
          <w:p w14:paraId="08F86EC2" w14:textId="78AEFC45" w:rsidR="009433D1" w:rsidRPr="00073AAF" w:rsidRDefault="009433D1" w:rsidP="005A5556">
            <w:pPr>
              <w:pBdr>
                <w:bottom w:val="single" w:sz="4" w:space="1" w:color="auto"/>
              </w:pBdr>
              <w:spacing w:before="120"/>
              <w:ind w:left="288" w:right="288"/>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Strategic Priority Area 3: Prosperity — </w:t>
            </w:r>
            <w:r w:rsidR="00541BB7">
              <w:rPr>
                <w:rFonts w:ascii="Roboto" w:hAnsi="Roboto" w:cs="Calibri"/>
                <w:color w:val="404040" w:themeColor="text1" w:themeTint="BF"/>
                <w:sz w:val="21"/>
                <w:szCs w:val="21"/>
                <w:lang w:val="en-GB"/>
              </w:rPr>
              <w:t>E</w:t>
            </w:r>
            <w:r w:rsidRPr="00073AAF">
              <w:rPr>
                <w:rFonts w:ascii="Roboto" w:hAnsi="Roboto" w:cs="Calibri"/>
                <w:color w:val="404040" w:themeColor="text1" w:themeTint="BF"/>
                <w:sz w:val="21"/>
                <w:szCs w:val="21"/>
                <w:lang w:val="en-GB"/>
              </w:rPr>
              <w:t>nsure that all human beings can enjoy prosperous and fulfilling lives (SDGs 7–11)</w:t>
            </w:r>
            <w:r w:rsidR="00CE2577">
              <w:rPr>
                <w:rFonts w:ascii="Roboto" w:hAnsi="Roboto" w:cs="Calibri"/>
                <w:color w:val="404040" w:themeColor="text1" w:themeTint="BF"/>
                <w:sz w:val="21"/>
                <w:szCs w:val="21"/>
                <w:lang w:val="en-GB"/>
              </w:rPr>
              <w:t>.</w:t>
            </w:r>
          </w:p>
          <w:p w14:paraId="3DBDB8F5" w14:textId="77777777" w:rsidR="009433D1" w:rsidRPr="00073AAF" w:rsidRDefault="009433D1" w:rsidP="005A5556">
            <w:pPr>
              <w:pBdr>
                <w:bottom w:val="single" w:sz="4" w:space="1" w:color="auto"/>
              </w:pBdr>
              <w:ind w:left="288" w:right="288"/>
              <w:rPr>
                <w:rFonts w:ascii="Roboto" w:hAnsi="Roboto" w:cs="Calibri"/>
                <w:color w:val="404040" w:themeColor="text1" w:themeTint="BF"/>
                <w:sz w:val="21"/>
                <w:szCs w:val="21"/>
                <w:lang w:val="en-GB"/>
              </w:rPr>
            </w:pPr>
          </w:p>
          <w:p w14:paraId="326D567D" w14:textId="4C0E4E69" w:rsidR="009433D1" w:rsidRPr="00073AAF" w:rsidRDefault="009433D1" w:rsidP="005A5556">
            <w:pPr>
              <w:spacing w:before="240" w:after="240"/>
              <w:ind w:left="288" w:right="288"/>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Outcome Statement 3: Increased opportunities are available for all human beings to enjoy prosperous and fulfilling lives</w:t>
            </w:r>
            <w:r w:rsidR="00CE2577">
              <w:rPr>
                <w:rFonts w:ascii="Roboto" w:hAnsi="Roboto" w:cs="Calibri"/>
                <w:color w:val="404040" w:themeColor="text1" w:themeTint="BF"/>
                <w:sz w:val="21"/>
                <w:szCs w:val="21"/>
                <w:lang w:val="en-GB"/>
              </w:rPr>
              <w:t>.</w:t>
            </w:r>
          </w:p>
        </w:tc>
      </w:tr>
    </w:tbl>
    <w:p w14:paraId="1BE7FF42" w14:textId="77777777" w:rsidR="009433D1" w:rsidRPr="00073AAF" w:rsidRDefault="009433D1" w:rsidP="009433D1">
      <w:pPr>
        <w:jc w:val="both"/>
        <w:rPr>
          <w:rFonts w:ascii="Roboto" w:hAnsi="Roboto" w:cs="Calibri"/>
          <w:b/>
          <w:color w:val="404040" w:themeColor="text1" w:themeTint="BF"/>
          <w:sz w:val="10"/>
          <w:szCs w:val="10"/>
          <w:lang w:val="en-GB"/>
        </w:rPr>
      </w:pPr>
    </w:p>
    <w:tbl>
      <w:tblPr>
        <w:tblStyle w:val="TableGrid"/>
        <w:tblW w:w="0" w:type="auto"/>
        <w:tblLook w:val="04A0" w:firstRow="1" w:lastRow="0" w:firstColumn="1" w:lastColumn="0" w:noHBand="0" w:noVBand="1"/>
      </w:tblPr>
      <w:tblGrid>
        <w:gridCol w:w="469"/>
        <w:gridCol w:w="8491"/>
      </w:tblGrid>
      <w:tr w:rsidR="009433D1" w:rsidRPr="00073AAF" w14:paraId="6E43F0F6" w14:textId="77777777" w:rsidTr="005A5556">
        <w:trPr>
          <w:trHeight w:val="994"/>
        </w:trPr>
        <w:tc>
          <w:tcPr>
            <w:tcW w:w="420" w:type="dxa"/>
            <w:tcBorders>
              <w:top w:val="single" w:sz="24" w:space="0" w:color="FCC30B"/>
              <w:left w:val="single" w:sz="24" w:space="0" w:color="FCC30B"/>
              <w:bottom w:val="single" w:sz="24" w:space="0" w:color="FCC30B"/>
              <w:right w:val="single" w:sz="24" w:space="0" w:color="FCC30B"/>
            </w:tcBorders>
            <w:shd w:val="clear" w:color="auto" w:fill="FCC30B"/>
            <w:vAlign w:val="center"/>
          </w:tcPr>
          <w:p w14:paraId="2E384624" w14:textId="77777777" w:rsidR="009433D1" w:rsidRPr="00073AAF" w:rsidRDefault="009433D1" w:rsidP="005A5556">
            <w:pPr>
              <w:jc w:val="center"/>
              <w:rPr>
                <w:rFonts w:ascii="Roboto" w:hAnsi="Roboto" w:cs="Calibri"/>
                <w:b/>
                <w:color w:val="FFFFFF" w:themeColor="background1"/>
                <w:sz w:val="44"/>
                <w:szCs w:val="44"/>
                <w:lang w:val="en-GB"/>
              </w:rPr>
            </w:pPr>
            <w:r w:rsidRPr="00073AAF">
              <w:rPr>
                <w:rFonts w:ascii="Roboto" w:hAnsi="Roboto" w:cs="Calibri"/>
                <w:b/>
                <w:color w:val="FFFFFF" w:themeColor="background1"/>
                <w:sz w:val="44"/>
                <w:szCs w:val="44"/>
                <w:lang w:val="en-GB"/>
              </w:rPr>
              <w:t>4</w:t>
            </w:r>
          </w:p>
        </w:tc>
        <w:tc>
          <w:tcPr>
            <w:tcW w:w="9260" w:type="dxa"/>
            <w:tcBorders>
              <w:top w:val="single" w:sz="24" w:space="0" w:color="FCC30B"/>
              <w:left w:val="single" w:sz="24" w:space="0" w:color="FCC30B"/>
              <w:bottom w:val="single" w:sz="24" w:space="0" w:color="FCC30B"/>
              <w:right w:val="single" w:sz="24" w:space="0" w:color="FCC30B"/>
            </w:tcBorders>
          </w:tcPr>
          <w:p w14:paraId="3FE7B1A3" w14:textId="6C10E823" w:rsidR="009433D1" w:rsidRPr="00073AAF" w:rsidRDefault="009433D1" w:rsidP="005A5556">
            <w:pPr>
              <w:pBdr>
                <w:bottom w:val="single" w:sz="4" w:space="1" w:color="auto"/>
              </w:pBdr>
              <w:spacing w:before="120"/>
              <w:ind w:left="288" w:right="288"/>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Strategic Priority Area 4: Peace, Partnership, and Other Cross-Cutting Issues — </w:t>
            </w:r>
            <w:r w:rsidR="00541BB7">
              <w:rPr>
                <w:rFonts w:ascii="Roboto" w:hAnsi="Roboto" w:cs="Calibri"/>
                <w:color w:val="404040" w:themeColor="text1" w:themeTint="BF"/>
                <w:sz w:val="21"/>
                <w:szCs w:val="21"/>
                <w:lang w:val="en-GB"/>
              </w:rPr>
              <w:t>F</w:t>
            </w:r>
            <w:r w:rsidRPr="00073AAF">
              <w:rPr>
                <w:rFonts w:ascii="Roboto" w:hAnsi="Roboto" w:cs="Calibri"/>
                <w:color w:val="404040" w:themeColor="text1" w:themeTint="BF"/>
                <w:sz w:val="21"/>
                <w:szCs w:val="21"/>
                <w:lang w:val="en-GB"/>
              </w:rPr>
              <w:t>oster peaceful, just, and inclusive societies and mobilize the means required for implementation (SDGs 16–17)</w:t>
            </w:r>
          </w:p>
          <w:p w14:paraId="36969CE5" w14:textId="77777777" w:rsidR="009433D1" w:rsidRPr="00073AAF" w:rsidRDefault="009433D1" w:rsidP="005A5556">
            <w:pPr>
              <w:pBdr>
                <w:bottom w:val="single" w:sz="4" w:space="1" w:color="auto"/>
              </w:pBdr>
              <w:spacing w:after="120"/>
              <w:ind w:left="288" w:right="288"/>
              <w:jc w:val="both"/>
              <w:rPr>
                <w:rFonts w:ascii="Roboto" w:hAnsi="Roboto" w:cs="Calibri"/>
                <w:color w:val="404040" w:themeColor="text1" w:themeTint="BF"/>
                <w:sz w:val="21"/>
                <w:szCs w:val="21"/>
                <w:lang w:val="en-GB"/>
              </w:rPr>
            </w:pPr>
          </w:p>
          <w:p w14:paraId="4B0DDF7F" w14:textId="77777777" w:rsidR="009433D1" w:rsidRPr="00073AAF" w:rsidRDefault="009433D1" w:rsidP="005A5556">
            <w:pPr>
              <w:spacing w:before="240" w:after="240"/>
              <w:ind w:left="288" w:right="288"/>
              <w:jc w:val="both"/>
              <w:rPr>
                <w:rFonts w:ascii="Roboto" w:hAnsi="Roboto"/>
                <w:color w:val="404040" w:themeColor="text1" w:themeTint="BF"/>
                <w:sz w:val="21"/>
                <w:szCs w:val="21"/>
                <w:lang w:val="en-GB"/>
              </w:rPr>
            </w:pPr>
            <w:r w:rsidRPr="00073AAF">
              <w:rPr>
                <w:rFonts w:ascii="Roboto" w:hAnsi="Roboto"/>
                <w:color w:val="404040" w:themeColor="text1" w:themeTint="BF"/>
                <w:sz w:val="21"/>
                <w:szCs w:val="21"/>
                <w:lang w:val="en-GB"/>
              </w:rPr>
              <w:t>Outcome Statement 4: P</w:t>
            </w:r>
            <w:r w:rsidRPr="00073AAF">
              <w:rPr>
                <w:rFonts w:ascii="Roboto" w:hAnsi="Roboto" w:cs="Calibri"/>
                <w:color w:val="404040" w:themeColor="text1" w:themeTint="BF"/>
                <w:sz w:val="21"/>
                <w:szCs w:val="21"/>
                <w:lang w:val="en-GB"/>
              </w:rPr>
              <w:t>eaceful, just, and inclusive society is adequately fostered, and the means required for the implementation of Agenda 2030 are mobilized</w:t>
            </w:r>
          </w:p>
        </w:tc>
      </w:tr>
    </w:tbl>
    <w:p w14:paraId="3F8007CD" w14:textId="77777777" w:rsidR="009433D1" w:rsidRPr="00073AAF" w:rsidRDefault="009433D1" w:rsidP="009433D1">
      <w:pPr>
        <w:jc w:val="both"/>
        <w:rPr>
          <w:rFonts w:ascii="Roboto" w:hAnsi="Roboto" w:cs="Calibri"/>
          <w:color w:val="404040" w:themeColor="text1" w:themeTint="BF"/>
          <w:sz w:val="21"/>
          <w:szCs w:val="21"/>
          <w:lang w:val="en-GB"/>
        </w:rPr>
      </w:pPr>
    </w:p>
    <w:p w14:paraId="2DB815D2" w14:textId="77777777" w:rsidR="009433D1" w:rsidRPr="00073AAF" w:rsidRDefault="009433D1" w:rsidP="009433D1">
      <w:pPr>
        <w:jc w:val="both"/>
        <w:rPr>
          <w:rFonts w:ascii="Roboto" w:hAnsi="Roboto" w:cs="Calibri"/>
          <w:color w:val="404040" w:themeColor="text1" w:themeTint="BF"/>
          <w:sz w:val="21"/>
          <w:szCs w:val="21"/>
          <w:lang w:val="en-GB"/>
        </w:rPr>
      </w:pPr>
    </w:p>
    <w:p w14:paraId="0A29E4AC" w14:textId="2FE4BB70" w:rsidR="009433D1" w:rsidRPr="00073AAF" w:rsidRDefault="009433D1" w:rsidP="009433D1">
      <w:pPr>
        <w:jc w:val="both"/>
        <w:rPr>
          <w:rFonts w:ascii="Roboto" w:hAnsi="Roboto" w:cs="Calibri"/>
          <w:color w:val="404040" w:themeColor="text1" w:themeTint="BF"/>
          <w:sz w:val="21"/>
          <w:szCs w:val="21"/>
          <w:lang w:val="en-GB"/>
        </w:rPr>
      </w:pPr>
      <w:r w:rsidRPr="00073AAF">
        <w:rPr>
          <w:rFonts w:ascii="Roboto" w:hAnsi="Roboto" w:cs="Calibri"/>
          <w:color w:val="404040" w:themeColor="text1" w:themeTint="BF"/>
          <w:sz w:val="21"/>
          <w:szCs w:val="21"/>
          <w:lang w:val="en-GB"/>
        </w:rPr>
        <w:t xml:space="preserve">At the end of every year, the Strategic Priority Areas/Outcomes, and the ability of the UN to support them, are reviewed by both the UNCT and the Joint UN – Government of the KSA </w:t>
      </w:r>
      <w:r w:rsidR="000B79D4">
        <w:rPr>
          <w:rFonts w:ascii="Roboto" w:hAnsi="Roboto" w:cs="Calibri"/>
          <w:color w:val="404040" w:themeColor="text1" w:themeTint="BF"/>
          <w:sz w:val="21"/>
          <w:szCs w:val="21"/>
          <w:lang w:val="en-GB"/>
        </w:rPr>
        <w:t>CF</w:t>
      </w:r>
      <w:r w:rsidR="000B79D4" w:rsidRPr="00073AAF">
        <w:rPr>
          <w:rFonts w:ascii="Roboto" w:hAnsi="Roboto" w:cs="Calibri"/>
          <w:color w:val="404040" w:themeColor="text1" w:themeTint="BF"/>
          <w:sz w:val="21"/>
          <w:szCs w:val="21"/>
          <w:lang w:val="en-GB"/>
        </w:rPr>
        <w:t xml:space="preserve"> </w:t>
      </w:r>
      <w:r w:rsidRPr="00073AAF">
        <w:rPr>
          <w:rFonts w:ascii="Roboto" w:hAnsi="Roboto" w:cs="Calibri"/>
          <w:color w:val="404040" w:themeColor="text1" w:themeTint="BF"/>
          <w:sz w:val="21"/>
          <w:szCs w:val="21"/>
          <w:lang w:val="en-GB"/>
        </w:rPr>
        <w:t>Committee and adjusted as needed.</w:t>
      </w:r>
    </w:p>
    <w:p w14:paraId="043643A0" w14:textId="77777777" w:rsidR="009433D1" w:rsidRPr="00073AAF" w:rsidRDefault="009433D1" w:rsidP="009433D1">
      <w:pPr>
        <w:jc w:val="both"/>
        <w:rPr>
          <w:rFonts w:ascii="Roboto" w:hAnsi="Roboto" w:cs="Calibri"/>
          <w:color w:val="404040" w:themeColor="text1" w:themeTint="BF"/>
          <w:sz w:val="21"/>
          <w:szCs w:val="21"/>
          <w:lang w:val="en-GB"/>
        </w:rPr>
      </w:pPr>
    </w:p>
    <w:p w14:paraId="30CCF9E3" w14:textId="0851D101" w:rsidR="009433D1" w:rsidRPr="00073AAF" w:rsidRDefault="009433D1" w:rsidP="009433D1">
      <w:pPr>
        <w:jc w:val="both"/>
        <w:rPr>
          <w:rFonts w:ascii="Roboto" w:hAnsi="Roboto" w:cs="Calibri"/>
          <w:b/>
          <w:color w:val="404040" w:themeColor="text1" w:themeTint="BF"/>
          <w:sz w:val="22"/>
          <w:szCs w:val="22"/>
          <w:lang w:val="en-GB"/>
        </w:rPr>
      </w:pPr>
      <w:r w:rsidRPr="00073AAF">
        <w:rPr>
          <w:rFonts w:ascii="Roboto" w:hAnsi="Roboto" w:cs="Calibri"/>
          <w:color w:val="404040" w:themeColor="text1" w:themeTint="BF"/>
          <w:sz w:val="21"/>
          <w:szCs w:val="21"/>
          <w:lang w:val="en-GB"/>
        </w:rPr>
        <w:t>The UNCT developed two high-level Theory of Change diagrams</w:t>
      </w:r>
      <w:r w:rsidR="00CE2577">
        <w:rPr>
          <w:rFonts w:ascii="Roboto" w:hAnsi="Roboto" w:cs="Calibri"/>
          <w:color w:val="404040" w:themeColor="text1" w:themeTint="BF"/>
          <w:sz w:val="21"/>
          <w:szCs w:val="21"/>
          <w:lang w:val="en-GB"/>
        </w:rPr>
        <w:t>: (1)</w:t>
      </w:r>
      <w:r w:rsidRPr="00073AAF">
        <w:rPr>
          <w:rFonts w:ascii="Roboto" w:hAnsi="Roboto" w:cs="Calibri"/>
          <w:color w:val="404040" w:themeColor="text1" w:themeTint="BF"/>
          <w:sz w:val="21"/>
          <w:szCs w:val="21"/>
          <w:lang w:val="en-GB"/>
        </w:rPr>
        <w:t xml:space="preserve"> the Problem Tree and</w:t>
      </w:r>
      <w:r w:rsidR="00CE2577">
        <w:rPr>
          <w:rFonts w:ascii="Roboto" w:hAnsi="Roboto" w:cs="Calibri"/>
          <w:color w:val="404040" w:themeColor="text1" w:themeTint="BF"/>
          <w:sz w:val="21"/>
          <w:szCs w:val="21"/>
          <w:lang w:val="en-GB"/>
        </w:rPr>
        <w:t xml:space="preserve"> (2)</w:t>
      </w:r>
      <w:r w:rsidRPr="00073AAF">
        <w:rPr>
          <w:rFonts w:ascii="Roboto" w:hAnsi="Roboto" w:cs="Calibri"/>
          <w:color w:val="404040" w:themeColor="text1" w:themeTint="BF"/>
          <w:sz w:val="21"/>
          <w:szCs w:val="21"/>
          <w:lang w:val="en-GB"/>
        </w:rPr>
        <w:t xml:space="preserve"> the Solution Tree</w:t>
      </w:r>
      <w:r w:rsidR="00CE2577">
        <w:rPr>
          <w:rFonts w:ascii="Roboto" w:hAnsi="Roboto" w:cs="Calibri"/>
          <w:color w:val="404040" w:themeColor="text1" w:themeTint="BF"/>
          <w:sz w:val="21"/>
          <w:szCs w:val="21"/>
          <w:lang w:val="en-GB"/>
        </w:rPr>
        <w:t>; these diagrams help</w:t>
      </w:r>
      <w:r>
        <w:rPr>
          <w:rFonts w:ascii="Roboto" w:hAnsi="Roboto" w:cs="Calibri"/>
          <w:color w:val="404040" w:themeColor="text1" w:themeTint="BF"/>
          <w:sz w:val="21"/>
          <w:szCs w:val="21"/>
          <w:lang w:val="en-GB"/>
        </w:rPr>
        <w:t xml:space="preserve"> </w:t>
      </w:r>
      <w:r w:rsidRPr="00073AAF">
        <w:rPr>
          <w:rFonts w:ascii="Roboto" w:hAnsi="Roboto" w:cs="Calibri"/>
          <w:color w:val="404040" w:themeColor="text1" w:themeTint="BF"/>
          <w:sz w:val="21"/>
          <w:szCs w:val="21"/>
          <w:lang w:val="en-GB"/>
        </w:rPr>
        <w:t>visualize the Theory of Change process</w:t>
      </w:r>
      <w:r w:rsidR="00CE2577">
        <w:rPr>
          <w:rFonts w:ascii="Roboto" w:hAnsi="Roboto" w:cs="Calibri"/>
          <w:color w:val="404040" w:themeColor="text1" w:themeTint="BF"/>
          <w:sz w:val="21"/>
          <w:szCs w:val="21"/>
          <w:lang w:val="en-GB"/>
        </w:rPr>
        <w:t xml:space="preserve"> that is used to frame the SDG development agenda</w:t>
      </w:r>
      <w:r w:rsidRPr="00073AAF">
        <w:rPr>
          <w:rFonts w:ascii="Roboto" w:hAnsi="Roboto" w:cs="Calibri"/>
          <w:color w:val="404040" w:themeColor="text1" w:themeTint="BF"/>
          <w:sz w:val="21"/>
          <w:szCs w:val="21"/>
          <w:lang w:val="en-GB"/>
        </w:rPr>
        <w:t xml:space="preserve">. The Solution Tree diagram (Annex E) visualizes development challenges and opportunities in terms of solution-driven change pathways (operationalized through collections of UN activities) that directly correspond to the ‘5Ps’ and the </w:t>
      </w:r>
      <w:r w:rsidR="002704D0">
        <w:rPr>
          <w:rFonts w:ascii="Roboto" w:hAnsi="Roboto" w:cs="Calibri"/>
          <w:color w:val="404040" w:themeColor="text1" w:themeTint="BF"/>
          <w:sz w:val="21"/>
          <w:szCs w:val="21"/>
          <w:lang w:val="en-GB"/>
        </w:rPr>
        <w:t xml:space="preserve">UN’s </w:t>
      </w:r>
      <w:r w:rsidRPr="00073AAF">
        <w:rPr>
          <w:rFonts w:ascii="Roboto" w:hAnsi="Roboto" w:cs="Calibri"/>
          <w:color w:val="404040" w:themeColor="text1" w:themeTint="BF"/>
          <w:sz w:val="21"/>
          <w:szCs w:val="21"/>
          <w:lang w:val="en-GB"/>
        </w:rPr>
        <w:t xml:space="preserve">2030 Agenda through the lens of the 17 SDGs. In this sense, the Strategic Priority Areas and their accompanying Outcome Statements also include Outputs, which are the 17 SDGs themselves. Additionally, Annex </w:t>
      </w:r>
      <w:r>
        <w:rPr>
          <w:rFonts w:ascii="Roboto" w:hAnsi="Roboto" w:cs="Calibri"/>
          <w:color w:val="404040" w:themeColor="text1" w:themeTint="BF"/>
          <w:sz w:val="21"/>
          <w:szCs w:val="21"/>
          <w:lang w:val="en-GB"/>
        </w:rPr>
        <w:t>C Figure C.1</w:t>
      </w:r>
      <w:r w:rsidRPr="00073AAF">
        <w:rPr>
          <w:rFonts w:ascii="Roboto" w:hAnsi="Roboto" w:cs="Calibri"/>
          <w:color w:val="404040" w:themeColor="text1" w:themeTint="BF"/>
          <w:sz w:val="21"/>
          <w:szCs w:val="21"/>
          <w:lang w:val="en-GB"/>
        </w:rPr>
        <w:t xml:space="preserve"> is an alternative Solution Tree that relies upon the KSA’s Vision 2030 rather than the ‘5Ps’.</w:t>
      </w:r>
      <w:r w:rsidRPr="00073AAF">
        <w:rPr>
          <w:rFonts w:ascii="Roboto" w:hAnsi="Roboto" w:cs="Calibri"/>
          <w:b/>
          <w:color w:val="404040" w:themeColor="text1" w:themeTint="BF"/>
          <w:sz w:val="22"/>
          <w:szCs w:val="22"/>
          <w:lang w:val="en-GB"/>
        </w:rPr>
        <w:t xml:space="preserve"> </w:t>
      </w:r>
    </w:p>
    <w:p w14:paraId="429B4C1C" w14:textId="77777777" w:rsidR="009433D1" w:rsidRDefault="009433D1" w:rsidP="009433D1">
      <w:pPr>
        <w:rPr>
          <w:rFonts w:eastAsiaTheme="majorEastAsia"/>
          <w:color w:val="404040" w:themeColor="text1" w:themeTint="BF"/>
          <w:lang w:val="en-GB"/>
        </w:rPr>
      </w:pPr>
    </w:p>
    <w:p w14:paraId="5AC3B56C" w14:textId="77777777" w:rsidR="009433D1" w:rsidRPr="003C206F" w:rsidRDefault="009433D1" w:rsidP="009433D1">
      <w:pPr>
        <w:rPr>
          <w:rFonts w:eastAsiaTheme="majorEastAsia"/>
          <w:color w:val="404040" w:themeColor="text1" w:themeTint="BF"/>
          <w:lang w:val="en-GB"/>
        </w:rPr>
      </w:pPr>
    </w:p>
    <w:p w14:paraId="2113D59D" w14:textId="63A32CCB" w:rsidR="009433D1" w:rsidRPr="003C206F" w:rsidRDefault="009433D1" w:rsidP="009433D1">
      <w:pPr>
        <w:pStyle w:val="NormalWeb"/>
        <w:spacing w:before="0" w:beforeAutospacing="0" w:after="240" w:afterAutospacing="0"/>
        <w:outlineLvl w:val="1"/>
        <w:rPr>
          <w:rFonts w:ascii="Roboto" w:eastAsiaTheme="majorEastAsia" w:hAnsi="Roboto" w:cs="Calibri"/>
          <w:b/>
          <w:bCs/>
          <w:color w:val="404040" w:themeColor="text1" w:themeTint="BF"/>
          <w:lang w:val="en-GB"/>
        </w:rPr>
      </w:pPr>
      <w:bookmarkStart w:id="69" w:name="_Toc92277965"/>
      <w:bookmarkStart w:id="70" w:name="_Toc105333777"/>
      <w:r w:rsidRPr="003C206F">
        <w:rPr>
          <w:rFonts w:ascii="Roboto" w:eastAsiaTheme="majorEastAsia" w:hAnsi="Roboto" w:cs="Calibri"/>
          <w:b/>
          <w:bCs/>
          <w:color w:val="404040" w:themeColor="text1" w:themeTint="BF"/>
          <w:lang w:val="en-GB"/>
        </w:rPr>
        <w:t>2.</w:t>
      </w:r>
      <w:r>
        <w:rPr>
          <w:rFonts w:ascii="Roboto" w:eastAsiaTheme="majorEastAsia" w:hAnsi="Roboto" w:cs="Calibri"/>
          <w:b/>
          <w:bCs/>
          <w:color w:val="404040" w:themeColor="text1" w:themeTint="BF"/>
          <w:lang w:val="en-GB"/>
        </w:rPr>
        <w:t>2</w:t>
      </w:r>
      <w:r w:rsidRPr="003C206F">
        <w:rPr>
          <w:rFonts w:ascii="Roboto" w:eastAsiaTheme="majorEastAsia" w:hAnsi="Roboto" w:cs="Calibri"/>
          <w:b/>
          <w:bCs/>
          <w:color w:val="404040" w:themeColor="text1" w:themeTint="BF"/>
          <w:lang w:val="en-GB"/>
        </w:rPr>
        <w:t>. Strategic Priority Areas – Looking Forward</w:t>
      </w:r>
      <w:bookmarkEnd w:id="69"/>
      <w:bookmarkEnd w:id="70"/>
    </w:p>
    <w:p w14:paraId="6416EFF4" w14:textId="7863F78D" w:rsidR="009433D1" w:rsidRPr="003C206F" w:rsidRDefault="009433D1" w:rsidP="007471D0">
      <w:pPr>
        <w:pStyle w:val="NormalWeb"/>
        <w:spacing w:before="0" w:beforeAutospacing="0" w:after="0" w:afterAutospacing="0"/>
        <w:jc w:val="both"/>
        <w:rPr>
          <w:lang w:val="en-GB"/>
        </w:rPr>
      </w:pPr>
      <w:r w:rsidRPr="003C206F">
        <w:rPr>
          <w:rFonts w:ascii="Roboto" w:hAnsi="Roboto" w:cs="Calibri"/>
          <w:color w:val="404040" w:themeColor="text1" w:themeTint="BF"/>
          <w:sz w:val="21"/>
          <w:szCs w:val="21"/>
          <w:lang w:val="en-GB"/>
        </w:rPr>
        <w:t xml:space="preserve">The KSA’s progress towards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and the SDGs is </w:t>
      </w:r>
      <w:r w:rsidR="00EB59A0">
        <w:rPr>
          <w:rFonts w:ascii="Roboto" w:hAnsi="Roboto" w:cs="Calibri"/>
          <w:color w:val="404040" w:themeColor="text1" w:themeTint="BF"/>
          <w:sz w:val="21"/>
          <w:szCs w:val="21"/>
          <w:lang w:val="en-GB"/>
        </w:rPr>
        <w:t>framed using multiple methods in order to</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1</w:t>
      </w:r>
      <w:r w:rsidRPr="003C206F">
        <w:rPr>
          <w:rFonts w:ascii="Roboto" w:hAnsi="Roboto" w:cs="Calibri"/>
          <w:color w:val="404040" w:themeColor="text1" w:themeTint="BF"/>
          <w:sz w:val="21"/>
          <w:szCs w:val="21"/>
          <w:lang w:val="en-GB"/>
        </w:rPr>
        <w:t xml:space="preserve">) identify the KSA’s current trends by SDG and whether </w:t>
      </w:r>
      <w:r>
        <w:rPr>
          <w:rFonts w:ascii="Roboto" w:hAnsi="Roboto" w:cs="Calibri"/>
          <w:color w:val="404040" w:themeColor="text1" w:themeTint="BF"/>
          <w:sz w:val="21"/>
          <w:szCs w:val="21"/>
          <w:lang w:val="en-GB"/>
        </w:rPr>
        <w:t>the country</w:t>
      </w:r>
      <w:r w:rsidRPr="003C206F">
        <w:rPr>
          <w:rFonts w:ascii="Roboto" w:hAnsi="Roboto" w:cs="Calibri"/>
          <w:color w:val="404040" w:themeColor="text1" w:themeTint="BF"/>
          <w:sz w:val="21"/>
          <w:szCs w:val="21"/>
          <w:lang w:val="en-GB"/>
        </w:rPr>
        <w:t xml:space="preserve"> is projected to achieve each SDG by 2030</w:t>
      </w:r>
      <w:bookmarkStart w:id="71" w:name="_Ref85625184"/>
      <w:r w:rsidRPr="003C206F">
        <w:rPr>
          <w:rFonts w:ascii="Roboto" w:hAnsi="Roboto" w:cs="Calibri"/>
          <w:color w:val="404040" w:themeColor="text1" w:themeTint="BF"/>
          <w:sz w:val="21"/>
          <w:szCs w:val="21"/>
          <w:lang w:val="en-GB"/>
        </w:rPr>
        <w:t>;</w:t>
      </w:r>
      <w:bookmarkStart w:id="72" w:name="_Ref90279451"/>
      <w:r w:rsidRPr="003C206F">
        <w:rPr>
          <w:rStyle w:val="EndnoteReference"/>
          <w:rFonts w:ascii="Roboto" w:hAnsi="Roboto" w:cs="Calibri"/>
          <w:color w:val="404040" w:themeColor="text1" w:themeTint="BF"/>
          <w:sz w:val="21"/>
          <w:szCs w:val="21"/>
          <w:lang w:val="en-GB"/>
        </w:rPr>
        <w:endnoteReference w:id="9"/>
      </w:r>
      <w:bookmarkEnd w:id="71"/>
      <w:bookmarkEnd w:id="72"/>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2</w:t>
      </w:r>
      <w:r w:rsidRPr="003C206F">
        <w:rPr>
          <w:rFonts w:ascii="Roboto" w:hAnsi="Roboto" w:cs="Calibri"/>
          <w:color w:val="404040" w:themeColor="text1" w:themeTint="BF"/>
          <w:sz w:val="21"/>
          <w:szCs w:val="21"/>
          <w:lang w:val="en-GB"/>
        </w:rPr>
        <w:t xml:space="preserve">) identify the KSA’s current trends by SDG/SDR indicator and whether </w:t>
      </w:r>
      <w:r>
        <w:rPr>
          <w:rFonts w:ascii="Roboto" w:hAnsi="Roboto" w:cs="Calibri"/>
          <w:color w:val="404040" w:themeColor="text1" w:themeTint="BF"/>
          <w:sz w:val="21"/>
          <w:szCs w:val="21"/>
          <w:lang w:val="en-GB"/>
        </w:rPr>
        <w:t>the country</w:t>
      </w:r>
      <w:r w:rsidRPr="003C206F">
        <w:rPr>
          <w:rFonts w:ascii="Roboto" w:hAnsi="Roboto" w:cs="Calibri"/>
          <w:color w:val="404040" w:themeColor="text1" w:themeTint="BF"/>
          <w:sz w:val="21"/>
          <w:szCs w:val="21"/>
          <w:lang w:val="en-GB"/>
        </w:rPr>
        <w:t xml:space="preserve"> is projected to achieve each SDG/SDR indicator by 2030;</w:t>
      </w:r>
      <w:r w:rsidRPr="00C74858">
        <w:rPr>
          <w:rFonts w:ascii="Roboto" w:hAnsi="Roboto" w:cs="Calibri"/>
          <w:color w:val="404040" w:themeColor="text1" w:themeTint="BF"/>
          <w:sz w:val="21"/>
          <w:szCs w:val="21"/>
          <w:vertAlign w:val="superscript"/>
          <w:lang w:val="en-GB"/>
        </w:rPr>
        <w:fldChar w:fldCharType="begin"/>
      </w:r>
      <w:r w:rsidRPr="00C74858">
        <w:rPr>
          <w:rFonts w:ascii="Roboto" w:hAnsi="Roboto" w:cs="Calibri"/>
          <w:color w:val="404040" w:themeColor="text1" w:themeTint="BF"/>
          <w:sz w:val="21"/>
          <w:szCs w:val="21"/>
          <w:vertAlign w:val="superscript"/>
          <w:lang w:val="en-GB"/>
        </w:rPr>
        <w:instrText xml:space="preserve"> NOTEREF _Ref90279451 \h </w:instrText>
      </w:r>
      <w:r>
        <w:rPr>
          <w:rFonts w:ascii="Roboto" w:hAnsi="Roboto" w:cs="Calibri"/>
          <w:color w:val="404040" w:themeColor="text1" w:themeTint="BF"/>
          <w:sz w:val="21"/>
          <w:szCs w:val="21"/>
          <w:vertAlign w:val="superscript"/>
          <w:lang w:val="en-GB"/>
        </w:rPr>
        <w:instrText xml:space="preserve"> \* MERGEFORMAT </w:instrText>
      </w:r>
      <w:r w:rsidRPr="00C74858">
        <w:rPr>
          <w:rFonts w:ascii="Roboto" w:hAnsi="Roboto" w:cs="Calibri"/>
          <w:color w:val="404040" w:themeColor="text1" w:themeTint="BF"/>
          <w:sz w:val="21"/>
          <w:szCs w:val="21"/>
          <w:vertAlign w:val="superscript"/>
          <w:lang w:val="en-GB"/>
        </w:rPr>
      </w:r>
      <w:r w:rsidRPr="00C74858">
        <w:rPr>
          <w:rFonts w:ascii="Roboto" w:hAnsi="Roboto" w:cs="Calibri"/>
          <w:color w:val="404040" w:themeColor="text1" w:themeTint="BF"/>
          <w:sz w:val="21"/>
          <w:szCs w:val="21"/>
          <w:vertAlign w:val="superscript"/>
          <w:lang w:val="en-GB"/>
        </w:rPr>
        <w:fldChar w:fldCharType="separate"/>
      </w:r>
      <w:r w:rsidR="00BD1EAC">
        <w:rPr>
          <w:rFonts w:ascii="Roboto" w:hAnsi="Roboto" w:cs="Calibri"/>
          <w:color w:val="404040" w:themeColor="text1" w:themeTint="BF"/>
          <w:sz w:val="21"/>
          <w:szCs w:val="21"/>
          <w:vertAlign w:val="superscript"/>
          <w:lang w:val="en-GB"/>
        </w:rPr>
        <w:t>viii</w:t>
      </w:r>
      <w:r w:rsidRPr="00C74858">
        <w:rPr>
          <w:rFonts w:ascii="Roboto" w:hAnsi="Roboto" w:cs="Calibri"/>
          <w:color w:val="404040" w:themeColor="text1" w:themeTint="BF"/>
          <w:sz w:val="21"/>
          <w:szCs w:val="21"/>
          <w:vertAlign w:val="superscript"/>
          <w:lang w:val="en-GB"/>
        </w:rPr>
        <w:fldChar w:fldCharType="end"/>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3</w:t>
      </w:r>
      <w:r w:rsidRPr="003C206F">
        <w:rPr>
          <w:rFonts w:ascii="Roboto" w:hAnsi="Roboto" w:cs="Calibri"/>
          <w:color w:val="404040" w:themeColor="text1" w:themeTint="BF"/>
          <w:sz w:val="21"/>
          <w:szCs w:val="21"/>
          <w:lang w:val="en-GB"/>
        </w:rPr>
        <w:t>) identify the KSA’s current SDG trends through a perspective that considers human rights, LNOB, and most vulnerable groups and persons as determined by international human rights mechanisms and instruments, observations, and recommendations;</w:t>
      </w:r>
      <w:r w:rsidRPr="003C206F">
        <w:rPr>
          <w:rStyle w:val="EndnoteReference"/>
          <w:rFonts w:ascii="Roboto" w:hAnsi="Roboto" w:cs="Calibri"/>
          <w:color w:val="404040" w:themeColor="text1" w:themeTint="BF"/>
          <w:sz w:val="21"/>
          <w:szCs w:val="21"/>
          <w:lang w:val="en-GB"/>
        </w:rPr>
        <w:endnoteReference w:id="10"/>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4</w:t>
      </w:r>
      <w:r w:rsidRPr="003C206F">
        <w:rPr>
          <w:rFonts w:ascii="Roboto" w:hAnsi="Roboto" w:cs="Calibri"/>
          <w:color w:val="404040" w:themeColor="text1" w:themeTint="BF"/>
          <w:sz w:val="21"/>
          <w:szCs w:val="21"/>
          <w:lang w:val="en-GB"/>
        </w:rPr>
        <w:t>) compare the KSA’s forecasted SDG projections to the five most similar top-performing and five most similar bottom-performing countries;</w:t>
      </w:r>
      <w:r w:rsidRPr="003C206F">
        <w:rPr>
          <w:rStyle w:val="EndnoteReference"/>
          <w:rFonts w:ascii="Roboto" w:hAnsi="Roboto" w:cs="Calibri"/>
          <w:color w:val="404040" w:themeColor="text1" w:themeTint="BF"/>
          <w:sz w:val="21"/>
          <w:szCs w:val="21"/>
          <w:lang w:val="en-GB"/>
        </w:rPr>
        <w:endnoteReference w:id="11"/>
      </w:r>
      <w:r w:rsidRPr="003C206F">
        <w:rPr>
          <w:rFonts w:ascii="Roboto" w:hAnsi="Roboto" w:cs="Calibri"/>
          <w:color w:val="404040" w:themeColor="text1" w:themeTint="BF"/>
          <w:sz w:val="21"/>
          <w:szCs w:val="21"/>
          <w:lang w:val="en-GB"/>
        </w:rPr>
        <w:t xml:space="preserve"> and (</w:t>
      </w:r>
      <w:r>
        <w:rPr>
          <w:rFonts w:ascii="Roboto" w:hAnsi="Roboto" w:cs="Calibri"/>
          <w:color w:val="404040" w:themeColor="text1" w:themeTint="BF"/>
          <w:sz w:val="21"/>
          <w:szCs w:val="21"/>
          <w:lang w:val="en-GB"/>
        </w:rPr>
        <w:t>5</w:t>
      </w:r>
      <w:r w:rsidRPr="003C206F">
        <w:rPr>
          <w:rFonts w:ascii="Roboto" w:hAnsi="Roboto" w:cs="Calibri"/>
          <w:color w:val="404040" w:themeColor="text1" w:themeTint="BF"/>
          <w:sz w:val="21"/>
          <w:szCs w:val="21"/>
          <w:lang w:val="en-GB"/>
        </w:rPr>
        <w:t>) identify whether each SDG/SDR indicator</w:t>
      </w:r>
      <w:r>
        <w:rPr>
          <w:rFonts w:ascii="Roboto" w:hAnsi="Roboto" w:cs="Calibri"/>
          <w:color w:val="404040" w:themeColor="text1" w:themeTint="BF"/>
          <w:sz w:val="21"/>
          <w:szCs w:val="21"/>
          <w:lang w:val="en-GB"/>
        </w:rPr>
        <w:t xml:space="preserve"> in the KSA</w:t>
      </w:r>
      <w:r w:rsidRPr="003C206F">
        <w:rPr>
          <w:rFonts w:ascii="Roboto" w:hAnsi="Roboto" w:cs="Calibri"/>
          <w:color w:val="404040" w:themeColor="text1" w:themeTint="BF"/>
          <w:sz w:val="21"/>
          <w:szCs w:val="21"/>
          <w:lang w:val="en-GB"/>
        </w:rPr>
        <w:t xml:space="preserve"> is on track, maintaining its status as achieved, or exhibiting a decreasing trend.</w:t>
      </w:r>
      <w:r w:rsidRPr="00C74858">
        <w:rPr>
          <w:rFonts w:ascii="Roboto" w:hAnsi="Roboto" w:cs="Calibri"/>
          <w:color w:val="404040" w:themeColor="text1" w:themeTint="BF"/>
          <w:sz w:val="21"/>
          <w:szCs w:val="21"/>
          <w:vertAlign w:val="superscript"/>
          <w:lang w:val="en-GB"/>
        </w:rPr>
        <w:fldChar w:fldCharType="begin"/>
      </w:r>
      <w:r w:rsidRPr="00C74858">
        <w:rPr>
          <w:rFonts w:ascii="Roboto" w:hAnsi="Roboto" w:cs="Calibri"/>
          <w:color w:val="404040" w:themeColor="text1" w:themeTint="BF"/>
          <w:sz w:val="21"/>
          <w:szCs w:val="21"/>
          <w:vertAlign w:val="superscript"/>
          <w:lang w:val="en-GB"/>
        </w:rPr>
        <w:instrText xml:space="preserve"> NOTEREF _Ref90279451 \h </w:instrText>
      </w:r>
      <w:r>
        <w:rPr>
          <w:rFonts w:ascii="Roboto" w:hAnsi="Roboto" w:cs="Calibri"/>
          <w:color w:val="404040" w:themeColor="text1" w:themeTint="BF"/>
          <w:sz w:val="21"/>
          <w:szCs w:val="21"/>
          <w:vertAlign w:val="superscript"/>
          <w:lang w:val="en-GB"/>
        </w:rPr>
        <w:instrText xml:space="preserve"> \* MERGEFORMAT </w:instrText>
      </w:r>
      <w:r w:rsidRPr="00C74858">
        <w:rPr>
          <w:rFonts w:ascii="Roboto" w:hAnsi="Roboto" w:cs="Calibri"/>
          <w:color w:val="404040" w:themeColor="text1" w:themeTint="BF"/>
          <w:sz w:val="21"/>
          <w:szCs w:val="21"/>
          <w:vertAlign w:val="superscript"/>
          <w:lang w:val="en-GB"/>
        </w:rPr>
      </w:r>
      <w:r w:rsidRPr="00C74858">
        <w:rPr>
          <w:rFonts w:ascii="Roboto" w:hAnsi="Roboto" w:cs="Calibri"/>
          <w:color w:val="404040" w:themeColor="text1" w:themeTint="BF"/>
          <w:sz w:val="21"/>
          <w:szCs w:val="21"/>
          <w:vertAlign w:val="superscript"/>
          <w:lang w:val="en-GB"/>
        </w:rPr>
        <w:fldChar w:fldCharType="separate"/>
      </w:r>
      <w:r w:rsidR="00BD1EAC">
        <w:rPr>
          <w:rFonts w:ascii="Roboto" w:hAnsi="Roboto" w:cs="Calibri"/>
          <w:color w:val="404040" w:themeColor="text1" w:themeTint="BF"/>
          <w:sz w:val="21"/>
          <w:szCs w:val="21"/>
          <w:vertAlign w:val="superscript"/>
          <w:lang w:val="en-GB"/>
        </w:rPr>
        <w:t>viii</w:t>
      </w:r>
      <w:r w:rsidRPr="00C74858">
        <w:rPr>
          <w:rFonts w:ascii="Roboto" w:hAnsi="Roboto" w:cs="Calibri"/>
          <w:color w:val="404040" w:themeColor="text1" w:themeTint="BF"/>
          <w:sz w:val="21"/>
          <w:szCs w:val="21"/>
          <w:vertAlign w:val="superscript"/>
          <w:lang w:val="en-GB"/>
        </w:rPr>
        <w:fldChar w:fldCharType="end"/>
      </w:r>
      <w:r w:rsidRPr="003C206F">
        <w:rPr>
          <w:rFonts w:ascii="Roboto" w:hAnsi="Roboto"/>
          <w:color w:val="404040" w:themeColor="text1" w:themeTint="BF"/>
          <w:lang w:val="en-GB"/>
        </w:rPr>
        <w:t xml:space="preserve"> </w:t>
      </w:r>
    </w:p>
    <w:p w14:paraId="286B7C09" w14:textId="77777777" w:rsidR="009433D1" w:rsidRPr="003C206F" w:rsidRDefault="009433D1" w:rsidP="009433D1">
      <w:pPr>
        <w:pStyle w:val="NormalWeb"/>
        <w:spacing w:before="0" w:beforeAutospacing="0" w:after="0" w:afterAutospacing="0"/>
        <w:rPr>
          <w:rFonts w:ascii="Roboto" w:hAnsi="Roboto"/>
          <w:b/>
          <w:bCs/>
          <w:color w:val="404040" w:themeColor="text1" w:themeTint="BF"/>
          <w:lang w:val="en-GB"/>
        </w:rPr>
      </w:pPr>
    </w:p>
    <w:p w14:paraId="3E823C30" w14:textId="77777777" w:rsidR="009433D1" w:rsidRPr="003C206F" w:rsidRDefault="009433D1" w:rsidP="009433D1">
      <w:pPr>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While Figure 1.1 above reflects the KSA’s trends in terms of SDG/SDR indicators as of 2021, these figures only provide an understanding of trends in terms of past performance. While it is possible that the KSA’s SDG/SDR </w:t>
      </w:r>
      <w:r>
        <w:rPr>
          <w:rFonts w:ascii="Roboto" w:hAnsi="Roboto"/>
          <w:color w:val="404040" w:themeColor="text1" w:themeTint="BF"/>
          <w:sz w:val="21"/>
          <w:szCs w:val="21"/>
          <w:lang w:val="en-GB"/>
        </w:rPr>
        <w:t xml:space="preserve">indicator </w:t>
      </w:r>
      <w:r w:rsidRPr="003C206F">
        <w:rPr>
          <w:rFonts w:ascii="Roboto" w:hAnsi="Roboto"/>
          <w:color w:val="404040" w:themeColor="text1" w:themeTint="BF"/>
          <w:sz w:val="21"/>
          <w:szCs w:val="21"/>
          <w:lang w:val="en-GB"/>
        </w:rPr>
        <w:t xml:space="preserve">trajectories will continue to develop at these same rates in the future, such an assumption takes for granted that future shifts in policy will mirror those of the past. In seeking to determine the range of possible outcomes </w:t>
      </w:r>
      <w:r>
        <w:rPr>
          <w:rFonts w:ascii="Roboto" w:hAnsi="Roboto"/>
          <w:color w:val="404040" w:themeColor="text1" w:themeTint="BF"/>
          <w:sz w:val="21"/>
          <w:szCs w:val="21"/>
          <w:lang w:val="en-GB"/>
        </w:rPr>
        <w:t>for</w:t>
      </w:r>
      <w:r w:rsidRPr="003C206F">
        <w:rPr>
          <w:rFonts w:ascii="Roboto" w:hAnsi="Roboto"/>
          <w:color w:val="404040" w:themeColor="text1" w:themeTint="BF"/>
          <w:sz w:val="21"/>
          <w:szCs w:val="21"/>
          <w:lang w:val="en-GB"/>
        </w:rPr>
        <w:t xml:space="preserve"> the KSA’s future achievement of SDG/SDR indicators, the UN Resident Coordinator Office (RCO) has devised a forecasting methodology that strives to </w:t>
      </w:r>
      <w:proofErr w:type="gramStart"/>
      <w:r w:rsidRPr="003C206F">
        <w:rPr>
          <w:rFonts w:ascii="Roboto" w:hAnsi="Roboto"/>
          <w:color w:val="404040" w:themeColor="text1" w:themeTint="BF"/>
          <w:sz w:val="21"/>
          <w:szCs w:val="21"/>
          <w:lang w:val="en-GB"/>
        </w:rPr>
        <w:t>take into account</w:t>
      </w:r>
      <w:proofErr w:type="gramEnd"/>
      <w:r w:rsidRPr="003C206F">
        <w:rPr>
          <w:rFonts w:ascii="Roboto" w:hAnsi="Roboto"/>
          <w:color w:val="404040" w:themeColor="text1" w:themeTint="BF"/>
          <w:sz w:val="21"/>
          <w:szCs w:val="21"/>
          <w:lang w:val="en-GB"/>
        </w:rPr>
        <w:t xml:space="preserve"> potential variations in future outcomes according to the real-world experiences of countries that were formerly in similar positions.</w:t>
      </w:r>
    </w:p>
    <w:p w14:paraId="254BCBE4" w14:textId="77777777" w:rsidR="009433D1" w:rsidRPr="003C206F" w:rsidRDefault="009433D1" w:rsidP="009433D1">
      <w:pPr>
        <w:jc w:val="both"/>
        <w:rPr>
          <w:rFonts w:ascii="Roboto" w:hAnsi="Roboto"/>
          <w:color w:val="404040" w:themeColor="text1" w:themeTint="BF"/>
          <w:sz w:val="21"/>
          <w:szCs w:val="21"/>
          <w:lang w:val="en-GB"/>
        </w:rPr>
      </w:pPr>
    </w:p>
    <w:p w14:paraId="67D9A41F" w14:textId="77777777" w:rsidR="009433D1" w:rsidRPr="003C206F" w:rsidRDefault="009433D1" w:rsidP="009433D1">
      <w:pPr>
        <w:pStyle w:val="NormalWeb"/>
        <w:spacing w:before="0" w:beforeAutospacing="0" w:after="0" w:afterAutospacing="0"/>
        <w:jc w:val="both"/>
        <w:rPr>
          <w:rFonts w:ascii="Roboto" w:hAnsi="Roboto"/>
          <w:color w:val="404040" w:themeColor="text1" w:themeTint="BF"/>
          <w:lang w:val="en-GB"/>
        </w:rPr>
      </w:pPr>
      <w:r>
        <w:rPr>
          <w:rFonts w:ascii="Roboto" w:hAnsi="Roboto" w:cs="Calibri"/>
          <w:color w:val="404040" w:themeColor="text1" w:themeTint="BF"/>
          <w:sz w:val="21"/>
          <w:szCs w:val="21"/>
          <w:lang w:val="en-GB"/>
        </w:rPr>
        <w:t xml:space="preserve">Relying on </w:t>
      </w:r>
      <w:r w:rsidRPr="003C206F">
        <w:rPr>
          <w:rFonts w:ascii="Roboto" w:hAnsi="Roboto" w:cs="Calibri"/>
          <w:color w:val="404040" w:themeColor="text1" w:themeTint="BF"/>
          <w:sz w:val="21"/>
          <w:szCs w:val="21"/>
          <w:lang w:val="en-GB"/>
        </w:rPr>
        <w:t>the RCO’s ‘nearest neighbour methodology</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Figures 2.</w:t>
      </w:r>
      <w:r>
        <w:rPr>
          <w:rFonts w:ascii="Roboto" w:hAnsi="Roboto" w:cs="Calibri"/>
          <w:color w:val="404040" w:themeColor="text1" w:themeTint="BF"/>
          <w:sz w:val="21"/>
          <w:szCs w:val="21"/>
          <w:lang w:val="en-GB"/>
        </w:rPr>
        <w:t>1</w:t>
      </w:r>
      <w:r w:rsidRPr="003C206F">
        <w:rPr>
          <w:rFonts w:ascii="Roboto" w:hAnsi="Roboto" w:cs="Calibri"/>
          <w:color w:val="404040" w:themeColor="text1" w:themeTint="BF"/>
          <w:sz w:val="21"/>
          <w:szCs w:val="21"/>
          <w:lang w:val="en-GB"/>
        </w:rPr>
        <w:t>–2.</w:t>
      </w:r>
      <w:r>
        <w:rPr>
          <w:rFonts w:ascii="Roboto" w:hAnsi="Roboto" w:cs="Calibri"/>
          <w:color w:val="404040" w:themeColor="text1" w:themeTint="BF"/>
          <w:sz w:val="21"/>
          <w:szCs w:val="21"/>
          <w:lang w:val="en-GB"/>
        </w:rPr>
        <w:t>4</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 xml:space="preserve">below </w:t>
      </w:r>
      <w:r w:rsidRPr="003C206F">
        <w:rPr>
          <w:rFonts w:ascii="Roboto" w:hAnsi="Roboto" w:cs="Calibri"/>
          <w:color w:val="404040" w:themeColor="text1" w:themeTint="BF"/>
          <w:sz w:val="21"/>
          <w:szCs w:val="21"/>
          <w:lang w:val="en-GB"/>
        </w:rPr>
        <w:t>offer three sets of pr</w:t>
      </w:r>
      <w:r>
        <w:rPr>
          <w:rFonts w:ascii="Roboto" w:hAnsi="Roboto" w:cs="Calibri"/>
          <w:color w:val="404040" w:themeColor="text1" w:themeTint="BF"/>
          <w:sz w:val="21"/>
          <w:szCs w:val="21"/>
          <w:lang w:val="en-GB"/>
        </w:rPr>
        <w:t>ojections</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as to</w:t>
      </w:r>
      <w:r w:rsidRPr="003C206F">
        <w:rPr>
          <w:rFonts w:ascii="Roboto" w:hAnsi="Roboto" w:cs="Calibri"/>
          <w:color w:val="404040" w:themeColor="text1" w:themeTint="BF"/>
          <w:sz w:val="21"/>
          <w:szCs w:val="21"/>
          <w:lang w:val="en-GB"/>
        </w:rPr>
        <w:t xml:space="preserve"> the </w:t>
      </w:r>
      <w:r>
        <w:rPr>
          <w:rFonts w:ascii="Roboto" w:hAnsi="Roboto" w:cs="Calibri"/>
          <w:color w:val="404040" w:themeColor="text1" w:themeTint="BF"/>
          <w:sz w:val="21"/>
          <w:szCs w:val="21"/>
          <w:lang w:val="en-GB"/>
        </w:rPr>
        <w:t xml:space="preserve">KSA’s </w:t>
      </w:r>
      <w:r w:rsidRPr="003C206F">
        <w:rPr>
          <w:rFonts w:ascii="Roboto" w:hAnsi="Roboto" w:cs="Calibri"/>
          <w:color w:val="404040" w:themeColor="text1" w:themeTint="BF"/>
          <w:sz w:val="21"/>
          <w:szCs w:val="21"/>
          <w:lang w:val="en-GB"/>
        </w:rPr>
        <w:t>progress towards the fulfilment of each SDG.</w:t>
      </w:r>
      <w:r w:rsidRPr="003C206F">
        <w:rPr>
          <w:rStyle w:val="EndnoteReference"/>
          <w:rFonts w:ascii="Roboto" w:hAnsi="Roboto" w:cs="Calibri"/>
          <w:color w:val="404040" w:themeColor="text1" w:themeTint="BF"/>
          <w:sz w:val="21"/>
          <w:szCs w:val="21"/>
          <w:lang w:val="en-GB"/>
        </w:rPr>
        <w:endnoteReference w:id="12"/>
      </w:r>
      <w:r w:rsidRPr="003C206F">
        <w:rPr>
          <w:rFonts w:ascii="Roboto" w:hAnsi="Roboto" w:cs="Calibri"/>
          <w:color w:val="404040" w:themeColor="text1" w:themeTint="BF"/>
          <w:sz w:val="21"/>
          <w:szCs w:val="21"/>
          <w:lang w:val="en-GB"/>
        </w:rPr>
        <w:t xml:space="preserve"> The </w:t>
      </w:r>
      <w:r>
        <w:rPr>
          <w:rFonts w:ascii="Roboto" w:hAnsi="Roboto" w:cs="Calibri"/>
          <w:color w:val="404040" w:themeColor="text1" w:themeTint="BF"/>
          <w:sz w:val="21"/>
          <w:szCs w:val="21"/>
          <w:lang w:val="en-GB"/>
        </w:rPr>
        <w:t>following material intend</w:t>
      </w:r>
      <w:r w:rsidRPr="003C206F">
        <w:rPr>
          <w:rFonts w:ascii="Roboto" w:hAnsi="Roboto" w:cs="Calibri"/>
          <w:color w:val="404040" w:themeColor="text1" w:themeTint="BF"/>
          <w:sz w:val="21"/>
          <w:szCs w:val="21"/>
          <w:lang w:val="en-GB"/>
        </w:rPr>
        <w:t xml:space="preserve">s to </w:t>
      </w:r>
      <w:r>
        <w:rPr>
          <w:rFonts w:ascii="Roboto" w:hAnsi="Roboto" w:cs="Calibri"/>
          <w:color w:val="404040" w:themeColor="text1" w:themeTint="BF"/>
          <w:sz w:val="21"/>
          <w:szCs w:val="21"/>
          <w:lang w:val="en-GB"/>
        </w:rPr>
        <w:t>forecast a range</w:t>
      </w:r>
      <w:r w:rsidRPr="003C206F">
        <w:rPr>
          <w:rFonts w:ascii="Roboto" w:hAnsi="Roboto" w:cs="Calibri"/>
          <w:color w:val="404040" w:themeColor="text1" w:themeTint="BF"/>
          <w:sz w:val="21"/>
          <w:szCs w:val="21"/>
          <w:lang w:val="en-GB"/>
        </w:rPr>
        <w:t xml:space="preserve"> based on the historical development</w:t>
      </w:r>
      <w:r>
        <w:rPr>
          <w:rFonts w:ascii="Roboto" w:hAnsi="Roboto" w:cs="Calibri"/>
          <w:color w:val="404040" w:themeColor="text1" w:themeTint="BF"/>
          <w:sz w:val="21"/>
          <w:szCs w:val="21"/>
          <w:lang w:val="en-GB"/>
        </w:rPr>
        <w:t xml:space="preserve"> and </w:t>
      </w:r>
      <w:r w:rsidRPr="003C206F">
        <w:rPr>
          <w:rFonts w:ascii="Roboto" w:hAnsi="Roboto" w:cs="Calibri"/>
          <w:color w:val="404040" w:themeColor="text1" w:themeTint="BF"/>
          <w:sz w:val="21"/>
          <w:szCs w:val="21"/>
          <w:lang w:val="en-GB"/>
        </w:rPr>
        <w:t>policy experiences of the KSA’s ‘nearest neighbours’ – the countries that, in 2010, were in the most similar position to that of the KSA in 2021. These countries were ranked based on their SDG performance between 2010 and 2021</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and the five top</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and bottom</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performing countries were identified </w:t>
      </w:r>
      <w:proofErr w:type="gramStart"/>
      <w:r w:rsidRPr="003C206F">
        <w:rPr>
          <w:rFonts w:ascii="Roboto" w:hAnsi="Roboto" w:cs="Calibri"/>
          <w:color w:val="404040" w:themeColor="text1" w:themeTint="BF"/>
          <w:sz w:val="21"/>
          <w:szCs w:val="21"/>
          <w:lang w:val="en-GB"/>
        </w:rPr>
        <w:t>so as to</w:t>
      </w:r>
      <w:proofErr w:type="gramEnd"/>
      <w:r w:rsidRPr="003C206F">
        <w:rPr>
          <w:rFonts w:ascii="Roboto" w:hAnsi="Roboto" w:cs="Calibri"/>
          <w:color w:val="404040" w:themeColor="text1" w:themeTint="BF"/>
          <w:sz w:val="21"/>
          <w:szCs w:val="21"/>
          <w:lang w:val="en-GB"/>
        </w:rPr>
        <w:t xml:space="preserve"> offer an upper and lower bound for the KSA’s future</w:t>
      </w:r>
      <w:r>
        <w:rPr>
          <w:rFonts w:ascii="Roboto" w:hAnsi="Roboto" w:cs="Calibri"/>
          <w:color w:val="404040" w:themeColor="text1" w:themeTint="BF"/>
          <w:sz w:val="21"/>
          <w:szCs w:val="21"/>
          <w:lang w:val="en-GB"/>
        </w:rPr>
        <w:t xml:space="preserve"> development</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trajectory</w:t>
      </w:r>
      <w:r w:rsidRPr="003C206F">
        <w:rPr>
          <w:rFonts w:ascii="Roboto" w:hAnsi="Roboto" w:cs="Calibri"/>
          <w:color w:val="404040" w:themeColor="text1" w:themeTint="BF"/>
          <w:sz w:val="21"/>
          <w:szCs w:val="21"/>
          <w:lang w:val="en-GB"/>
        </w:rPr>
        <w:t xml:space="preserve"> between 2021 and 2030.</w:t>
      </w:r>
    </w:p>
    <w:p w14:paraId="237A1F3E" w14:textId="77777777" w:rsidR="009433D1" w:rsidRPr="003C206F" w:rsidRDefault="009433D1" w:rsidP="009433D1">
      <w:pPr>
        <w:pStyle w:val="NormalWeb"/>
        <w:spacing w:before="0" w:beforeAutospacing="0" w:after="0" w:afterAutospacing="0"/>
        <w:jc w:val="both"/>
        <w:rPr>
          <w:rFonts w:ascii="Roboto" w:hAnsi="Roboto"/>
          <w:color w:val="404040" w:themeColor="text1" w:themeTint="BF"/>
          <w:lang w:val="en-GB"/>
        </w:rPr>
      </w:pPr>
      <w:r w:rsidRPr="003C206F">
        <w:rPr>
          <w:rFonts w:ascii="Roboto" w:hAnsi="Roboto" w:cs="Calibri"/>
          <w:color w:val="404040" w:themeColor="text1" w:themeTint="BF"/>
          <w:sz w:val="21"/>
          <w:szCs w:val="21"/>
          <w:lang w:val="en-GB"/>
        </w:rPr>
        <w:t> </w:t>
      </w:r>
    </w:p>
    <w:p w14:paraId="1F0D492B" w14:textId="77777777" w:rsidR="009433D1" w:rsidRDefault="009433D1" w:rsidP="009433D1">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In the figures below, the SDGs are grouped according to their corresponding Strategic Priority Area</w:t>
      </w:r>
      <w:r>
        <w:rPr>
          <w:rFonts w:ascii="Roboto" w:hAnsi="Roboto" w:cs="Calibri"/>
          <w:color w:val="404040" w:themeColor="text1" w:themeTint="BF"/>
          <w:sz w:val="21"/>
          <w:szCs w:val="21"/>
          <w:lang w:val="en-GB"/>
        </w:rPr>
        <w:t>s</w:t>
      </w:r>
      <w:r w:rsidRPr="003C206F">
        <w:rPr>
          <w:rFonts w:ascii="Roboto" w:hAnsi="Roboto" w:cs="Calibri"/>
          <w:color w:val="404040" w:themeColor="text1" w:themeTint="BF"/>
          <w:sz w:val="21"/>
          <w:szCs w:val="21"/>
          <w:lang w:val="en-GB"/>
        </w:rPr>
        <w:t xml:space="preserve">, framed in terms of the ‘5Ps’ (see above). In terms of their coding, the </w:t>
      </w:r>
      <w:r w:rsidRPr="007C3DDC">
        <w:rPr>
          <w:rFonts w:ascii="Roboto" w:hAnsi="Roboto" w:cs="Calibri"/>
          <w:b/>
          <w:bCs/>
          <w:color w:val="0A6C35"/>
          <w:sz w:val="21"/>
          <w:szCs w:val="21"/>
          <w:lang w:val="en-GB"/>
        </w:rPr>
        <w:t>green</w:t>
      </w:r>
      <w:r>
        <w:rPr>
          <w:rFonts w:ascii="Roboto" w:hAnsi="Roboto" w:cs="Calibri"/>
          <w:b/>
          <w:bCs/>
          <w:color w:val="0A6C35"/>
          <w:sz w:val="21"/>
          <w:szCs w:val="21"/>
          <w:lang w:val="en-GB"/>
        </w:rPr>
        <w:t xml:space="preserve"> lines</w:t>
      </w:r>
      <w:r w:rsidRPr="007C3DDC">
        <w:rPr>
          <w:rFonts w:ascii="Roboto" w:hAnsi="Roboto" w:cs="Calibri"/>
          <w:b/>
          <w:bCs/>
          <w:color w:val="0A6C35"/>
          <w:sz w:val="21"/>
          <w:szCs w:val="21"/>
          <w:lang w:val="en-GB"/>
        </w:rPr>
        <w:t xml:space="preserve"> </w:t>
      </w:r>
      <w:r w:rsidRPr="00736315">
        <w:rPr>
          <w:rFonts w:ascii="Roboto" w:hAnsi="Roboto" w:cs="Calibri"/>
          <w:b/>
          <w:noProof/>
          <w:color w:val="404040" w:themeColor="text1" w:themeTint="BF"/>
          <w:sz w:val="14"/>
          <w:szCs w:val="14"/>
          <w:lang w:val="en-GB"/>
        </w:rPr>
        <w:drawing>
          <wp:inline distT="0" distB="0" distL="0" distR="0" wp14:anchorId="46B5A6B4" wp14:editId="41C912FE">
            <wp:extent cx="266242" cy="66040"/>
            <wp:effectExtent l="0" t="0" r="635" b="0"/>
            <wp:docPr id="554" name="Picture 5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Icon&#10;&#10;Description automatically generated"/>
                    <pic:cNvPicPr/>
                  </pic:nvPicPr>
                  <pic:blipFill rotWithShape="1">
                    <a:blip r:embed="rId30" cstate="print">
                      <a:extLst>
                        <a:ext uri="{28A0092B-C50C-407E-A947-70E740481C1C}">
                          <a14:useLocalDpi xmlns:a14="http://schemas.microsoft.com/office/drawing/2010/main" val="0"/>
                        </a:ext>
                      </a:extLst>
                    </a:blip>
                    <a:srcRect t="575" b="11428"/>
                    <a:stretch/>
                  </pic:blipFill>
                  <pic:spPr bwMode="auto">
                    <a:xfrm flipV="1">
                      <a:off x="0" y="0"/>
                      <a:ext cx="274320" cy="68044"/>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s="Calibri"/>
          <w:b/>
          <w:bCs/>
          <w:color w:val="0A6C35"/>
          <w:sz w:val="21"/>
          <w:szCs w:val="21"/>
          <w:lang w:val="en-GB"/>
        </w:rPr>
        <w:t xml:space="preserve"> </w:t>
      </w:r>
      <w:r>
        <w:rPr>
          <w:rFonts w:ascii="Roboto" w:hAnsi="Roboto" w:cs="Calibri"/>
          <w:color w:val="404040" w:themeColor="text1" w:themeTint="BF"/>
          <w:sz w:val="21"/>
          <w:szCs w:val="21"/>
          <w:lang w:val="en-GB"/>
        </w:rPr>
        <w:t xml:space="preserve">represent the KSA’s historical SDG trend, the </w:t>
      </w:r>
      <w:r>
        <w:rPr>
          <w:rFonts w:ascii="Roboto" w:hAnsi="Roboto" w:cs="Calibri"/>
          <w:b/>
          <w:bCs/>
          <w:color w:val="0A6C35"/>
          <w:sz w:val="21"/>
          <w:szCs w:val="21"/>
          <w:lang w:val="en-GB"/>
        </w:rPr>
        <w:t xml:space="preserve">green </w:t>
      </w:r>
      <w:r w:rsidRPr="007C3DDC">
        <w:rPr>
          <w:rFonts w:ascii="Roboto" w:hAnsi="Roboto" w:cs="Calibri"/>
          <w:b/>
          <w:bCs/>
          <w:color w:val="0A6C35"/>
          <w:sz w:val="21"/>
          <w:szCs w:val="21"/>
          <w:lang w:val="en-GB"/>
        </w:rPr>
        <w:t>dashed lines</w:t>
      </w:r>
      <w:r w:rsidRPr="003C206F">
        <w:rPr>
          <w:rFonts w:ascii="Roboto" w:hAnsi="Roboto" w:cs="Calibri"/>
          <w:color w:val="404040" w:themeColor="text1" w:themeTint="BF"/>
          <w:sz w:val="21"/>
          <w:szCs w:val="21"/>
          <w:lang w:val="en-GB"/>
        </w:rPr>
        <w:t xml:space="preserve"> </w:t>
      </w:r>
      <w:r w:rsidRPr="00736315">
        <w:rPr>
          <w:rFonts w:ascii="Roboto" w:hAnsi="Roboto" w:cs="Calibri"/>
          <w:b/>
          <w:noProof/>
          <w:color w:val="404040" w:themeColor="text1" w:themeTint="BF"/>
          <w:sz w:val="14"/>
          <w:szCs w:val="14"/>
          <w:lang w:val="en-GB"/>
        </w:rPr>
        <w:drawing>
          <wp:inline distT="0" distB="0" distL="0" distR="0" wp14:anchorId="59EA7EAD" wp14:editId="140A9BFA">
            <wp:extent cx="273685" cy="71120"/>
            <wp:effectExtent l="0" t="0" r="5715" b="5080"/>
            <wp:docPr id="555" name="Picture 555" descr="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 application, chat or text message, icon&#10;&#10;Description automatically generated"/>
                    <pic:cNvPicPr/>
                  </pic:nvPicPr>
                  <pic:blipFill rotWithShape="1">
                    <a:blip r:embed="rId31" cstate="print">
                      <a:extLst>
                        <a:ext uri="{28A0092B-C50C-407E-A947-70E740481C1C}">
                          <a14:useLocalDpi xmlns:a14="http://schemas.microsoft.com/office/drawing/2010/main" val="0"/>
                        </a:ext>
                      </a:extLst>
                    </a:blip>
                    <a:srcRect t="-942" b="6736"/>
                    <a:stretch/>
                  </pic:blipFill>
                  <pic:spPr bwMode="auto">
                    <a:xfrm flipV="1">
                      <a:off x="0" y="0"/>
                      <a:ext cx="274320" cy="71285"/>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represent the </w:t>
      </w:r>
      <w:r>
        <w:rPr>
          <w:rFonts w:ascii="Roboto" w:hAnsi="Roboto" w:cs="Calibri"/>
          <w:color w:val="404040" w:themeColor="text1" w:themeTint="BF"/>
          <w:sz w:val="21"/>
          <w:szCs w:val="21"/>
          <w:lang w:val="en-GB"/>
        </w:rPr>
        <w:t xml:space="preserve">future </w:t>
      </w:r>
      <w:r w:rsidRPr="003C206F">
        <w:rPr>
          <w:rFonts w:ascii="Roboto" w:hAnsi="Roboto" w:cs="Calibri"/>
          <w:color w:val="404040" w:themeColor="text1" w:themeTint="BF"/>
          <w:sz w:val="21"/>
          <w:szCs w:val="21"/>
          <w:lang w:val="en-GB"/>
        </w:rPr>
        <w:t xml:space="preserve">continuation of the KSA’s current </w:t>
      </w:r>
      <w:r>
        <w:rPr>
          <w:rFonts w:ascii="Roboto" w:hAnsi="Roboto" w:cs="Calibri"/>
          <w:color w:val="404040" w:themeColor="text1" w:themeTint="BF"/>
          <w:sz w:val="21"/>
          <w:szCs w:val="21"/>
          <w:lang w:val="en-GB"/>
        </w:rPr>
        <w:t xml:space="preserve">SDG </w:t>
      </w:r>
      <w:r w:rsidRPr="003C206F">
        <w:rPr>
          <w:rFonts w:ascii="Roboto" w:hAnsi="Roboto" w:cs="Calibri"/>
          <w:color w:val="404040" w:themeColor="text1" w:themeTint="BF"/>
          <w:sz w:val="21"/>
          <w:szCs w:val="21"/>
          <w:lang w:val="en-GB"/>
        </w:rPr>
        <w:t xml:space="preserve">trend, the </w:t>
      </w:r>
      <w:r w:rsidRPr="007C3DDC">
        <w:rPr>
          <w:rFonts w:ascii="Roboto" w:hAnsi="Roboto" w:cs="Calibri"/>
          <w:b/>
          <w:bCs/>
          <w:color w:val="1AADF0"/>
          <w:sz w:val="21"/>
          <w:szCs w:val="21"/>
          <w:lang w:val="en-GB"/>
        </w:rPr>
        <w:t>blue dashed lines</w:t>
      </w:r>
      <w:r w:rsidRPr="003C206F">
        <w:rPr>
          <w:rFonts w:ascii="Roboto" w:hAnsi="Roboto" w:cs="Calibri"/>
          <w:color w:val="404040" w:themeColor="text1" w:themeTint="BF"/>
          <w:sz w:val="21"/>
          <w:szCs w:val="21"/>
          <w:lang w:val="en-GB"/>
        </w:rPr>
        <w:t xml:space="preserve"> </w:t>
      </w:r>
      <w:r w:rsidRPr="00736315">
        <w:rPr>
          <w:rFonts w:ascii="Roboto" w:hAnsi="Roboto" w:cs="Calibri"/>
          <w:b/>
          <w:noProof/>
          <w:color w:val="404040" w:themeColor="text1" w:themeTint="BF"/>
          <w:sz w:val="14"/>
          <w:szCs w:val="14"/>
          <w:lang w:val="en-GB"/>
        </w:rPr>
        <w:drawing>
          <wp:inline distT="0" distB="0" distL="0" distR="0" wp14:anchorId="760E7339" wp14:editId="236754C2">
            <wp:extent cx="271145" cy="73660"/>
            <wp:effectExtent l="0" t="0" r="0" b="2540"/>
            <wp:docPr id="556" name="Picture 55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t="-5635" b="-1486"/>
                    <a:stretch/>
                  </pic:blipFill>
                  <pic:spPr bwMode="auto">
                    <a:xfrm flipV="1">
                      <a:off x="0" y="0"/>
                      <a:ext cx="274320" cy="74523"/>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represent the five most similar top-performing countries’ average SDG </w:t>
      </w:r>
      <w:r>
        <w:rPr>
          <w:rFonts w:ascii="Roboto" w:hAnsi="Roboto" w:cs="Calibri"/>
          <w:color w:val="404040" w:themeColor="text1" w:themeTint="BF"/>
          <w:sz w:val="21"/>
          <w:szCs w:val="21"/>
          <w:lang w:val="en-GB"/>
        </w:rPr>
        <w:t>trends</w:t>
      </w:r>
      <w:r w:rsidRPr="003C206F">
        <w:rPr>
          <w:rFonts w:ascii="Roboto" w:hAnsi="Roboto" w:cs="Calibri"/>
          <w:color w:val="404040" w:themeColor="text1" w:themeTint="BF"/>
          <w:sz w:val="21"/>
          <w:szCs w:val="21"/>
          <w:lang w:val="en-GB"/>
        </w:rPr>
        <w:t xml:space="preserve">, and the </w:t>
      </w:r>
      <w:r w:rsidRPr="007C3DDC">
        <w:rPr>
          <w:rFonts w:ascii="Roboto" w:hAnsi="Roboto" w:cs="Calibri"/>
          <w:b/>
          <w:bCs/>
          <w:color w:val="FD0000"/>
          <w:sz w:val="21"/>
          <w:szCs w:val="21"/>
          <w:lang w:val="en-GB"/>
        </w:rPr>
        <w:t>red dashed lines</w:t>
      </w:r>
      <w:r w:rsidRPr="003C206F">
        <w:rPr>
          <w:rFonts w:ascii="Roboto" w:hAnsi="Roboto" w:cs="Calibri"/>
          <w:color w:val="404040" w:themeColor="text1" w:themeTint="BF"/>
          <w:sz w:val="21"/>
          <w:szCs w:val="21"/>
          <w:lang w:val="en-GB"/>
        </w:rPr>
        <w:t xml:space="preserve"> </w:t>
      </w:r>
      <w:r w:rsidRPr="00736315">
        <w:rPr>
          <w:rFonts w:ascii="Roboto" w:hAnsi="Roboto" w:cs="Calibri"/>
          <w:b/>
          <w:noProof/>
          <w:color w:val="404040" w:themeColor="text1" w:themeTint="BF"/>
          <w:sz w:val="14"/>
          <w:szCs w:val="14"/>
          <w:lang w:val="en-GB"/>
        </w:rPr>
        <w:drawing>
          <wp:inline distT="0" distB="0" distL="0" distR="0" wp14:anchorId="4E2B647A" wp14:editId="71BA7987">
            <wp:extent cx="271145" cy="66040"/>
            <wp:effectExtent l="0" t="0" r="0" b="0"/>
            <wp:docPr id="557" name="Picture 557"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chat or text message, icon&#10;&#10;Description automatically generated"/>
                    <pic:cNvPicPr/>
                  </pic:nvPicPr>
                  <pic:blipFill rotWithShape="1">
                    <a:blip r:embed="rId33" cstate="print">
                      <a:extLst>
                        <a:ext uri="{28A0092B-C50C-407E-A947-70E740481C1C}">
                          <a14:useLocalDpi xmlns:a14="http://schemas.microsoft.com/office/drawing/2010/main" val="0"/>
                        </a:ext>
                      </a:extLst>
                    </a:blip>
                    <a:srcRect t="7728" r="3785" b="14884"/>
                    <a:stretch/>
                  </pic:blipFill>
                  <pic:spPr bwMode="auto">
                    <a:xfrm flipV="1">
                      <a:off x="0" y="0"/>
                      <a:ext cx="274320" cy="66813"/>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represent the five most similar bottom-performing countries’ average SDG </w:t>
      </w:r>
      <w:r>
        <w:rPr>
          <w:rFonts w:ascii="Roboto" w:hAnsi="Roboto" w:cs="Calibri"/>
          <w:color w:val="404040" w:themeColor="text1" w:themeTint="BF"/>
          <w:sz w:val="21"/>
          <w:szCs w:val="21"/>
          <w:lang w:val="en-GB"/>
        </w:rPr>
        <w:t>trends</w:t>
      </w:r>
      <w:r w:rsidRPr="003C206F">
        <w:rPr>
          <w:rFonts w:ascii="Roboto" w:hAnsi="Roboto" w:cs="Calibri"/>
          <w:color w:val="404040" w:themeColor="text1" w:themeTint="BF"/>
          <w:sz w:val="21"/>
          <w:szCs w:val="21"/>
          <w:lang w:val="en-GB"/>
        </w:rPr>
        <w:t>. </w:t>
      </w:r>
    </w:p>
    <w:p w14:paraId="5BBCC093" w14:textId="77777777" w:rsidR="009433D1" w:rsidRDefault="009433D1" w:rsidP="009433D1">
      <w:pPr>
        <w:pStyle w:val="NormalWeb"/>
        <w:spacing w:before="0" w:beforeAutospacing="0" w:after="0" w:afterAutospacing="0"/>
        <w:jc w:val="both"/>
        <w:rPr>
          <w:rFonts w:ascii="Roboto" w:hAnsi="Roboto" w:cs="Calibri"/>
          <w:color w:val="404040" w:themeColor="text1" w:themeTint="BF"/>
          <w:sz w:val="21"/>
          <w:szCs w:val="21"/>
          <w:lang w:val="en-GB"/>
        </w:rPr>
      </w:pPr>
    </w:p>
    <w:p w14:paraId="7334ABF4" w14:textId="77777777" w:rsidR="009433D1" w:rsidRDefault="009433D1" w:rsidP="009433D1">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Beyond offering a scenario-building model, this method also carries with</w:t>
      </w:r>
      <w:r>
        <w:rPr>
          <w:rFonts w:ascii="Roboto" w:hAnsi="Roboto" w:cs="Calibri"/>
          <w:color w:val="404040" w:themeColor="text1" w:themeTint="BF"/>
          <w:sz w:val="21"/>
          <w:szCs w:val="21"/>
          <w:lang w:val="en-GB"/>
        </w:rPr>
        <w:t xml:space="preserve"> it</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 xml:space="preserve">some </w:t>
      </w:r>
      <w:r w:rsidRPr="003C206F">
        <w:rPr>
          <w:rFonts w:ascii="Roboto" w:hAnsi="Roboto" w:cs="Calibri"/>
          <w:color w:val="404040" w:themeColor="text1" w:themeTint="BF"/>
          <w:sz w:val="21"/>
          <w:szCs w:val="21"/>
          <w:lang w:val="en-GB"/>
        </w:rPr>
        <w:t xml:space="preserve">policy implications: drawing on the experiences of its top-performing nearest neighbours, the KSA </w:t>
      </w:r>
      <w:proofErr w:type="gramStart"/>
      <w:r w:rsidRPr="003C206F">
        <w:rPr>
          <w:rFonts w:ascii="Roboto" w:hAnsi="Roboto" w:cs="Calibri"/>
          <w:color w:val="404040" w:themeColor="text1" w:themeTint="BF"/>
          <w:sz w:val="21"/>
          <w:szCs w:val="21"/>
          <w:lang w:val="en-GB"/>
        </w:rPr>
        <w:t>is able to</w:t>
      </w:r>
      <w:proofErr w:type="gramEnd"/>
      <w:r w:rsidRPr="003C206F">
        <w:rPr>
          <w:rFonts w:ascii="Roboto" w:hAnsi="Roboto" w:cs="Calibri"/>
          <w:color w:val="404040" w:themeColor="text1" w:themeTint="BF"/>
          <w:sz w:val="21"/>
          <w:szCs w:val="21"/>
          <w:lang w:val="en-GB"/>
        </w:rPr>
        <w:t xml:space="preserve"> learn from their successful policies and adapt them to the Saudi context. Based on these projections, if the KSA were to adapt and implement the successful policies of its five most similar top-performing countries across all SDGs, the KSA’s SDR ranking </w:t>
      </w:r>
      <w:r>
        <w:rPr>
          <w:rFonts w:ascii="Roboto" w:hAnsi="Roboto" w:cs="Calibri"/>
          <w:color w:val="404040" w:themeColor="text1" w:themeTint="BF"/>
          <w:sz w:val="21"/>
          <w:szCs w:val="21"/>
          <w:lang w:val="en-GB"/>
        </w:rPr>
        <w:t>c</w:t>
      </w:r>
      <w:r w:rsidRPr="003C206F">
        <w:rPr>
          <w:rFonts w:ascii="Roboto" w:hAnsi="Roboto" w:cs="Calibri"/>
          <w:color w:val="404040" w:themeColor="text1" w:themeTint="BF"/>
          <w:sz w:val="21"/>
          <w:szCs w:val="21"/>
          <w:lang w:val="en-GB"/>
        </w:rPr>
        <w:t xml:space="preserve">ould improve </w:t>
      </w:r>
      <w:r>
        <w:rPr>
          <w:rFonts w:ascii="Roboto" w:hAnsi="Roboto" w:cs="Calibri"/>
          <w:color w:val="404040" w:themeColor="text1" w:themeTint="BF"/>
          <w:sz w:val="21"/>
          <w:szCs w:val="21"/>
          <w:lang w:val="en-GB"/>
        </w:rPr>
        <w:t xml:space="preserve">by </w:t>
      </w:r>
      <w:r w:rsidRPr="003C206F">
        <w:rPr>
          <w:rFonts w:ascii="Roboto" w:hAnsi="Roboto" w:cs="Calibri"/>
          <w:color w:val="404040" w:themeColor="text1" w:themeTint="BF"/>
          <w:sz w:val="21"/>
          <w:szCs w:val="21"/>
          <w:lang w:val="en-GB"/>
        </w:rPr>
        <w:t>16 places by 2030.</w:t>
      </w:r>
      <w:r>
        <w:rPr>
          <w:rFonts w:ascii="Roboto" w:hAnsi="Roboto" w:cs="Calibri"/>
          <w:color w:val="404040" w:themeColor="text1" w:themeTint="BF"/>
          <w:sz w:val="21"/>
          <w:szCs w:val="21"/>
          <w:lang w:val="en-GB"/>
        </w:rPr>
        <w:t xml:space="preserve"> Also,</w:t>
      </w:r>
      <w:r w:rsidRPr="003C206F">
        <w:rPr>
          <w:rFonts w:ascii="Roboto" w:hAnsi="Roboto" w:cs="Calibri"/>
          <w:color w:val="404040" w:themeColor="text1" w:themeTint="BF"/>
          <w:sz w:val="21"/>
          <w:szCs w:val="21"/>
          <w:lang w:val="en-GB"/>
        </w:rPr>
        <w:t xml:space="preserve"> </w:t>
      </w:r>
      <w:r w:rsidRPr="00EA35ED">
        <w:rPr>
          <w:rFonts w:ascii="Roboto" w:hAnsi="Roboto" w:cs="Calibri"/>
          <w:color w:val="404040" w:themeColor="text1" w:themeTint="BF"/>
          <w:sz w:val="21"/>
          <w:szCs w:val="21"/>
          <w:lang w:val="en-GB"/>
        </w:rPr>
        <w:t>in return, other countries will be able to learn from</w:t>
      </w:r>
      <w:r>
        <w:rPr>
          <w:rFonts w:ascii="Roboto" w:hAnsi="Roboto" w:cs="Calibri"/>
          <w:color w:val="404040" w:themeColor="text1" w:themeTint="BF"/>
          <w:sz w:val="21"/>
          <w:szCs w:val="21"/>
          <w:lang w:val="en-GB"/>
        </w:rPr>
        <w:t xml:space="preserve"> the</w:t>
      </w:r>
      <w:r w:rsidRPr="00EA35ED">
        <w:rPr>
          <w:rFonts w:ascii="Roboto" w:hAnsi="Roboto" w:cs="Calibri"/>
          <w:color w:val="404040" w:themeColor="text1" w:themeTint="BF"/>
          <w:sz w:val="21"/>
          <w:szCs w:val="21"/>
          <w:lang w:val="en-GB"/>
        </w:rPr>
        <w:t xml:space="preserve"> KSA</w:t>
      </w:r>
      <w:r>
        <w:rPr>
          <w:rFonts w:ascii="Roboto" w:hAnsi="Roboto" w:cs="Calibri"/>
          <w:color w:val="404040" w:themeColor="text1" w:themeTint="BF"/>
          <w:sz w:val="21"/>
          <w:szCs w:val="21"/>
          <w:lang w:val="en-GB"/>
        </w:rPr>
        <w:t>’s</w:t>
      </w:r>
      <w:r w:rsidRPr="00EA35ED">
        <w:rPr>
          <w:rFonts w:ascii="Roboto" w:hAnsi="Roboto" w:cs="Calibri"/>
          <w:color w:val="404040" w:themeColor="text1" w:themeTint="BF"/>
          <w:sz w:val="21"/>
          <w:szCs w:val="21"/>
          <w:lang w:val="en-GB"/>
        </w:rPr>
        <w:t xml:space="preserve"> successes an</w:t>
      </w:r>
      <w:r>
        <w:rPr>
          <w:rFonts w:ascii="Roboto" w:hAnsi="Roboto" w:cs="Calibri"/>
          <w:color w:val="404040" w:themeColor="text1" w:themeTint="BF"/>
          <w:sz w:val="21"/>
          <w:szCs w:val="21"/>
          <w:lang w:val="en-GB"/>
        </w:rPr>
        <w:t>d</w:t>
      </w:r>
      <w:r w:rsidRPr="00EA35ED">
        <w:rPr>
          <w:rFonts w:ascii="Roboto" w:hAnsi="Roboto" w:cs="Calibri"/>
          <w:color w:val="404040" w:themeColor="text1" w:themeTint="BF"/>
          <w:sz w:val="21"/>
          <w:szCs w:val="21"/>
          <w:lang w:val="en-GB"/>
        </w:rPr>
        <w:t xml:space="preserve"> apply them as a model</w:t>
      </w:r>
      <w:r>
        <w:rPr>
          <w:rFonts w:ascii="Roboto" w:hAnsi="Roboto" w:cs="Calibri"/>
          <w:color w:val="404040" w:themeColor="text1" w:themeTint="BF"/>
          <w:sz w:val="21"/>
          <w:szCs w:val="21"/>
          <w:lang w:val="en-GB"/>
        </w:rPr>
        <w:t>. Additionally,</w:t>
      </w:r>
      <w:r w:rsidRPr="00EA35ED">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w</w:t>
      </w:r>
      <w:r w:rsidRPr="003C206F">
        <w:rPr>
          <w:rFonts w:ascii="Roboto" w:hAnsi="Roboto" w:cs="Calibri"/>
          <w:color w:val="404040" w:themeColor="text1" w:themeTint="BF"/>
          <w:sz w:val="21"/>
          <w:szCs w:val="21"/>
          <w:lang w:val="en-GB"/>
        </w:rPr>
        <w:t xml:space="preserve">ith every SDG, the most vulnerable groups identified through an analysis of </w:t>
      </w:r>
      <w:r>
        <w:rPr>
          <w:rFonts w:ascii="Roboto" w:hAnsi="Roboto" w:cs="Calibri"/>
          <w:color w:val="404040" w:themeColor="text1" w:themeTint="BF"/>
          <w:sz w:val="21"/>
          <w:szCs w:val="21"/>
          <w:lang w:val="en-GB"/>
        </w:rPr>
        <w:t>h</w:t>
      </w:r>
      <w:r w:rsidRPr="003C206F">
        <w:rPr>
          <w:rFonts w:ascii="Roboto" w:hAnsi="Roboto" w:cs="Calibri"/>
          <w:color w:val="404040" w:themeColor="text1" w:themeTint="BF"/>
          <w:sz w:val="21"/>
          <w:szCs w:val="21"/>
          <w:lang w:val="en-GB"/>
        </w:rPr>
        <w:t>uman rights recommendations and observations are noted</w:t>
      </w:r>
      <w:r>
        <w:rPr>
          <w:rFonts w:ascii="Roboto" w:hAnsi="Roboto" w:cs="Calibri"/>
          <w:color w:val="404040" w:themeColor="text1" w:themeTint="BF"/>
          <w:sz w:val="21"/>
          <w:szCs w:val="21"/>
          <w:lang w:val="en-GB"/>
        </w:rPr>
        <w:t xml:space="preserve"> to support the decision-making of relevant policy makers</w:t>
      </w:r>
      <w:r w:rsidRPr="003C206F">
        <w:rPr>
          <w:rFonts w:ascii="Roboto" w:hAnsi="Roboto" w:cs="Calibri"/>
          <w:color w:val="404040" w:themeColor="text1" w:themeTint="BF"/>
          <w:sz w:val="21"/>
          <w:szCs w:val="21"/>
          <w:lang w:val="en-GB"/>
        </w:rPr>
        <w:t>.</w:t>
      </w:r>
      <w:r w:rsidRPr="003C206F">
        <w:rPr>
          <w:rStyle w:val="EndnoteReference"/>
          <w:rFonts w:ascii="Roboto" w:hAnsi="Roboto" w:cs="Calibri"/>
          <w:color w:val="404040" w:themeColor="text1" w:themeTint="BF"/>
          <w:sz w:val="21"/>
          <w:szCs w:val="21"/>
          <w:lang w:val="en-GB"/>
        </w:rPr>
        <w:endnoteReference w:id="13"/>
      </w:r>
    </w:p>
    <w:p w14:paraId="4DF5149B" w14:textId="525AA6A8" w:rsidR="00905F0B" w:rsidRDefault="00905F0B" w:rsidP="003210AB">
      <w:pPr>
        <w:pStyle w:val="NormalWeb"/>
        <w:spacing w:before="0" w:beforeAutospacing="0" w:after="0" w:afterAutospacing="0"/>
        <w:jc w:val="both"/>
        <w:rPr>
          <w:rFonts w:ascii="Roboto" w:hAnsi="Roboto" w:cs="Calibri"/>
          <w:color w:val="404040" w:themeColor="text1" w:themeTint="BF"/>
          <w:sz w:val="21"/>
          <w:szCs w:val="21"/>
          <w:lang w:val="en-GB"/>
        </w:rPr>
      </w:pPr>
    </w:p>
    <w:p w14:paraId="055ECB9B" w14:textId="6B2FD82D" w:rsidR="00871C7A" w:rsidRDefault="00871C7A" w:rsidP="003210AB">
      <w:pPr>
        <w:pStyle w:val="NormalWeb"/>
        <w:spacing w:before="0" w:beforeAutospacing="0" w:after="0" w:afterAutospacing="0"/>
        <w:jc w:val="both"/>
        <w:rPr>
          <w:rFonts w:ascii="Roboto" w:hAnsi="Roboto" w:cs="Calibri"/>
          <w:b/>
          <w:bCs/>
          <w:i/>
          <w:color w:val="404040" w:themeColor="text1" w:themeTint="BF"/>
          <w:lang w:val="en-GB"/>
        </w:rPr>
      </w:pPr>
    </w:p>
    <w:p w14:paraId="25851595" w14:textId="3F376D1F" w:rsidR="00905F0B" w:rsidRDefault="00905F0B" w:rsidP="003210AB">
      <w:pPr>
        <w:pStyle w:val="NormalWeb"/>
        <w:spacing w:before="0" w:beforeAutospacing="0" w:after="0" w:afterAutospacing="0"/>
        <w:jc w:val="both"/>
        <w:rPr>
          <w:rFonts w:ascii="Roboto" w:hAnsi="Roboto" w:cs="Calibri"/>
          <w:b/>
          <w:bCs/>
          <w:i/>
          <w:color w:val="404040" w:themeColor="text1" w:themeTint="BF"/>
          <w:lang w:val="en-GB"/>
        </w:rPr>
      </w:pPr>
    </w:p>
    <w:p w14:paraId="4C620DFC" w14:textId="77777777" w:rsidR="0072563C" w:rsidRPr="003C206F" w:rsidRDefault="0072563C" w:rsidP="003210AB">
      <w:pPr>
        <w:pStyle w:val="NormalWeb"/>
        <w:spacing w:before="0" w:beforeAutospacing="0" w:after="0" w:afterAutospacing="0"/>
        <w:jc w:val="both"/>
        <w:rPr>
          <w:rFonts w:ascii="Roboto" w:hAnsi="Roboto" w:cs="Calibri"/>
          <w:b/>
          <w:bCs/>
          <w:i/>
          <w:color w:val="404040" w:themeColor="text1" w:themeTint="BF"/>
          <w:lang w:val="en-GB"/>
        </w:rPr>
      </w:pPr>
    </w:p>
    <w:p w14:paraId="7034B292" w14:textId="77777777" w:rsidR="00756E0A" w:rsidRDefault="00756E0A">
      <w:r>
        <w:br w:type="page"/>
      </w:r>
    </w:p>
    <w:tbl>
      <w:tblPr>
        <w:tblStyle w:val="TableGrid"/>
        <w:tblW w:w="0" w:type="auto"/>
        <w:tblBorders>
          <w:top w:val="none" w:sz="0" w:space="0" w:color="auto"/>
          <w:left w:val="single" w:sz="24" w:space="0" w:color="26BDE2"/>
          <w:bottom w:val="none" w:sz="0" w:space="0" w:color="auto"/>
          <w:right w:val="none" w:sz="0" w:space="0" w:color="auto"/>
          <w:insideH w:val="single" w:sz="24" w:space="0" w:color="26BDE2"/>
          <w:insideV w:val="none" w:sz="0" w:space="0" w:color="auto"/>
        </w:tblBorders>
        <w:tblLook w:val="04A0" w:firstRow="1" w:lastRow="0" w:firstColumn="1" w:lastColumn="0" w:noHBand="0" w:noVBand="1"/>
      </w:tblPr>
      <w:tblGrid>
        <w:gridCol w:w="469"/>
        <w:gridCol w:w="8521"/>
      </w:tblGrid>
      <w:tr w:rsidR="00871C7A" w:rsidRPr="003C206F" w14:paraId="6D56866C" w14:textId="77777777" w:rsidTr="007471D0">
        <w:trPr>
          <w:trHeight w:val="878"/>
        </w:trPr>
        <w:tc>
          <w:tcPr>
            <w:tcW w:w="469" w:type="dxa"/>
            <w:shd w:val="clear" w:color="auto" w:fill="26BDE2"/>
            <w:vAlign w:val="center"/>
          </w:tcPr>
          <w:p w14:paraId="22C18041" w14:textId="5C42228F"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lastRenderedPageBreak/>
              <w:t>1</w:t>
            </w:r>
          </w:p>
        </w:tc>
        <w:tc>
          <w:tcPr>
            <w:tcW w:w="8521" w:type="dxa"/>
          </w:tcPr>
          <w:p w14:paraId="7461F73B" w14:textId="27085FA0" w:rsidR="00871C7A" w:rsidRPr="003C206F" w:rsidRDefault="00871C7A" w:rsidP="00AB5876">
            <w:pPr>
              <w:pStyle w:val="NormalWeb"/>
              <w:spacing w:before="40" w:beforeAutospacing="0" w:after="40" w:afterAutospacing="0"/>
              <w:ind w:left="144" w:right="144"/>
              <w:jc w:val="both"/>
              <w:rPr>
                <w:rFonts w:ascii="Roboto" w:hAnsi="Roboto" w:cs="Calibri"/>
                <w:b/>
                <w:color w:val="404040" w:themeColor="text1" w:themeTint="BF"/>
                <w:sz w:val="22"/>
                <w:szCs w:val="22"/>
                <w:lang w:val="en-GB"/>
              </w:rPr>
            </w:pPr>
            <w:r w:rsidRPr="003C206F">
              <w:rPr>
                <w:rFonts w:ascii="Roboto" w:hAnsi="Roboto" w:cs="Calibri"/>
                <w:b/>
                <w:color w:val="404040" w:themeColor="text1" w:themeTint="BF"/>
                <w:sz w:val="22"/>
                <w:szCs w:val="22"/>
                <w:lang w:val="en-GB"/>
              </w:rPr>
              <w:t xml:space="preserve">Strategic Priority Area 1: People — </w:t>
            </w:r>
            <w:r w:rsidR="00C978D4">
              <w:rPr>
                <w:rFonts w:ascii="Roboto" w:hAnsi="Roboto" w:cs="Calibri"/>
                <w:b/>
                <w:color w:val="404040" w:themeColor="text1" w:themeTint="BF"/>
                <w:sz w:val="22"/>
                <w:szCs w:val="22"/>
                <w:lang w:val="en-GB"/>
              </w:rPr>
              <w:t>A</w:t>
            </w:r>
            <w:r w:rsidRPr="003C206F">
              <w:rPr>
                <w:rFonts w:ascii="Roboto" w:hAnsi="Roboto" w:cs="Calibri"/>
                <w:b/>
                <w:color w:val="404040" w:themeColor="text1" w:themeTint="BF"/>
                <w:sz w:val="22"/>
                <w:szCs w:val="22"/>
                <w:lang w:val="en-GB"/>
              </w:rPr>
              <w:t>ccording to the principles of ‘Leave No One Behind’ (LNOB), ensure that all human beings can fulfil their potential in dignity, equity, and equality in a healthy environment (SDGs 1–5)</w:t>
            </w:r>
          </w:p>
        </w:tc>
      </w:tr>
    </w:tbl>
    <w:p w14:paraId="5C01ED67" w14:textId="77777777" w:rsidR="00871C7A" w:rsidRPr="003C206F" w:rsidRDefault="00871C7A" w:rsidP="00764B23">
      <w:pPr>
        <w:rPr>
          <w:rFonts w:ascii="Roboto" w:hAnsi="Roboto" w:cs="Calibri"/>
          <w:b/>
          <w:bCs/>
          <w:color w:val="404040" w:themeColor="text1" w:themeTint="BF"/>
          <w:sz w:val="20"/>
          <w:szCs w:val="20"/>
          <w:lang w:val="en-GB"/>
        </w:rPr>
      </w:pPr>
    </w:p>
    <w:tbl>
      <w:tblPr>
        <w:tblStyle w:val="TableGrid"/>
        <w:tblW w:w="0" w:type="auto"/>
        <w:tblBorders>
          <w:top w:val="single" w:sz="24" w:space="0" w:color="26BDE2"/>
          <w:left w:val="single" w:sz="24" w:space="0" w:color="26BDE2"/>
          <w:bottom w:val="single" w:sz="24" w:space="0" w:color="26BDE2"/>
          <w:right w:val="single" w:sz="24" w:space="0" w:color="26BDE2"/>
          <w:insideH w:val="none" w:sz="0" w:space="0" w:color="auto"/>
          <w:insideV w:val="none" w:sz="0" w:space="0" w:color="auto"/>
        </w:tblBorders>
        <w:tblLook w:val="04A0" w:firstRow="1" w:lastRow="0" w:firstColumn="1" w:lastColumn="0" w:noHBand="0" w:noVBand="1"/>
      </w:tblPr>
      <w:tblGrid>
        <w:gridCol w:w="8960"/>
      </w:tblGrid>
      <w:tr w:rsidR="00871C7A" w:rsidRPr="008029E6" w14:paraId="31907D2E" w14:textId="77777777" w:rsidTr="00BC36DE">
        <w:tc>
          <w:tcPr>
            <w:tcW w:w="8960" w:type="dxa"/>
            <w:tcBorders>
              <w:top w:val="single" w:sz="24" w:space="0" w:color="26BDE2"/>
              <w:left w:val="single" w:sz="24" w:space="0" w:color="26BDE2"/>
              <w:bottom w:val="single" w:sz="24" w:space="0" w:color="26BDE2"/>
              <w:right w:val="single" w:sz="24" w:space="0" w:color="26BDE2"/>
            </w:tcBorders>
            <w:shd w:val="clear" w:color="auto" w:fill="26BDE2"/>
          </w:tcPr>
          <w:p w14:paraId="7906FC6F" w14:textId="555027D1" w:rsidR="00871C7A" w:rsidRPr="008029E6" w:rsidRDefault="00871C7A" w:rsidP="00764B23">
            <w:pPr>
              <w:rPr>
                <w:rFonts w:ascii="Roboto" w:hAnsi="Roboto"/>
                <w:b/>
                <w:bCs/>
                <w:color w:val="FFFFFF" w:themeColor="background1"/>
                <w:sz w:val="21"/>
                <w:szCs w:val="21"/>
                <w:lang w:val="en-GB"/>
                <w14:textOutline w14:w="15875" w14:cap="rnd" w14:cmpd="sng" w14:algn="ctr">
                  <w14:noFill/>
                  <w14:prstDash w14:val="solid"/>
                  <w14:bevel/>
                </w14:textOutline>
              </w:rPr>
            </w:pPr>
            <w:r w:rsidRPr="008029E6">
              <w:rPr>
                <w:rFonts w:ascii="Roboto" w:hAnsi="Roboto"/>
                <w:b/>
                <w:bCs/>
                <w:color w:val="FFFFFF" w:themeColor="background1"/>
                <w:sz w:val="21"/>
                <w:szCs w:val="21"/>
                <w:lang w:val="en-GB"/>
                <w14:textOutline w14:w="15875" w14:cap="rnd" w14:cmpd="sng" w14:algn="ctr">
                  <w14:noFill/>
                  <w14:prstDash w14:val="solid"/>
                  <w14:bevel/>
                </w14:textOutline>
              </w:rPr>
              <w:t xml:space="preserve">Figure 2.1 Strategic Priority Area 1 – People </w:t>
            </w:r>
          </w:p>
          <w:p w14:paraId="3C695FE4" w14:textId="5C7E6C20" w:rsidR="00871C7A" w:rsidRPr="008029E6" w:rsidRDefault="00871C7A" w:rsidP="00764B23">
            <w:pPr>
              <w:rPr>
                <w:rFonts w:ascii="Roboto" w:hAnsi="Roboto"/>
                <w:i/>
                <w:iCs/>
                <w:color w:val="FFFFFF" w:themeColor="background1"/>
                <w:sz w:val="21"/>
                <w:szCs w:val="21"/>
                <w:lang w:val="en-GB"/>
                <w14:textOutline w14:w="15875" w14:cap="rnd" w14:cmpd="sng" w14:algn="ctr">
                  <w14:solidFill>
                    <w14:srgbClr w14:val="26BDE2"/>
                  </w14:solidFill>
                  <w14:prstDash w14:val="solid"/>
                  <w14:bevel/>
                </w14:textOutline>
              </w:rPr>
            </w:pPr>
            <w:r w:rsidRPr="008029E6">
              <w:rPr>
                <w:rFonts w:ascii="Roboto" w:hAnsi="Roboto"/>
                <w:i/>
                <w:iCs/>
                <w:color w:val="FFFFFF" w:themeColor="background1"/>
                <w:sz w:val="21"/>
                <w:szCs w:val="21"/>
                <w:lang w:val="en-GB"/>
                <w14:textOutline w14:w="15875" w14:cap="rnd" w14:cmpd="sng" w14:algn="ctr">
                  <w14:noFill/>
                  <w14:prstDash w14:val="solid"/>
                  <w14:bevel/>
                </w14:textOutline>
              </w:rPr>
              <w:t xml:space="preserve">14 of 31 SDG/SDR indicators on track </w:t>
            </w:r>
          </w:p>
        </w:tc>
      </w:tr>
      <w:tr w:rsidR="00871C7A" w:rsidRPr="003C206F" w14:paraId="45ED1AA6" w14:textId="77777777" w:rsidTr="00BC36DE">
        <w:tc>
          <w:tcPr>
            <w:tcW w:w="8960" w:type="dxa"/>
            <w:tcBorders>
              <w:top w:val="single" w:sz="24" w:space="0" w:color="26BDE2"/>
              <w:left w:val="single" w:sz="24" w:space="0" w:color="26BDE2"/>
              <w:bottom w:val="nil"/>
              <w:right w:val="single" w:sz="24" w:space="0" w:color="26BDE2"/>
            </w:tcBorders>
            <w:shd w:val="clear" w:color="auto" w:fill="auto"/>
          </w:tcPr>
          <w:p w14:paraId="51E401EE" w14:textId="407A8334" w:rsidR="00871C7A" w:rsidRPr="003C206F" w:rsidRDefault="00871C7A" w:rsidP="00BC36DE">
            <w:pPr>
              <w:pStyle w:val="NormalWeb"/>
              <w:spacing w:before="120" w:beforeAutospacing="0" w:after="0" w:afterAutospacing="0"/>
              <w:jc w:val="center"/>
              <w:rPr>
                <w:rFonts w:ascii="Roboto" w:hAnsi="Roboto" w:cs="Calibri"/>
                <w:b/>
                <w:bCs/>
                <w:color w:val="404040" w:themeColor="text1" w:themeTint="BF"/>
                <w:sz w:val="19"/>
                <w:szCs w:val="19"/>
                <w:lang w:val="en-GB"/>
              </w:rPr>
            </w:pPr>
            <w:r w:rsidRPr="003C206F">
              <w:rPr>
                <w:rFonts w:ascii="Roboto" w:hAnsi="Roboto" w:cs="Calibri"/>
                <w:b/>
                <w:bCs/>
                <w:color w:val="404040" w:themeColor="text1" w:themeTint="BF"/>
                <w:sz w:val="19"/>
                <w:szCs w:val="19"/>
                <w:lang w:val="en-GB"/>
              </w:rPr>
              <w:t>SDG 1: End Poverty in All its Forms Everywhere</w:t>
            </w:r>
          </w:p>
          <w:p w14:paraId="332ADBE8" w14:textId="77777777" w:rsidR="00871C7A" w:rsidRPr="003C206F" w:rsidRDefault="00871C7A" w:rsidP="005D4500">
            <w:pPr>
              <w:pStyle w:val="NormalWeb"/>
              <w:spacing w:before="0" w:beforeAutospacing="0" w:after="0" w:afterAutospacing="0"/>
              <w:jc w:val="center"/>
              <w:rPr>
                <w:rFonts w:ascii="Roboto" w:hAnsi="Roboto"/>
                <w:iCs/>
                <w:color w:val="404040" w:themeColor="text1" w:themeTint="BF"/>
                <w:sz w:val="16"/>
                <w:szCs w:val="16"/>
                <w:lang w:val="en-GB"/>
              </w:rPr>
            </w:pPr>
            <w:r w:rsidRPr="003C206F">
              <w:rPr>
                <w:rFonts w:ascii="Roboto" w:hAnsi="Roboto" w:cs="Calibri"/>
                <w:iCs/>
                <w:color w:val="404040" w:themeColor="text1" w:themeTint="BF"/>
                <w:sz w:val="16"/>
                <w:szCs w:val="16"/>
                <w:lang w:val="en-GB"/>
              </w:rPr>
              <w:t>Most Vulnerable Groups: Women and Girls, Children, and Persons with Disabilities</w:t>
            </w:r>
          </w:p>
          <w:p w14:paraId="68A61128" w14:textId="0E4321F6" w:rsidR="00871C7A" w:rsidRPr="003C206F" w:rsidRDefault="00871C7A" w:rsidP="00BC36DE">
            <w:pPr>
              <w:spacing w:after="120"/>
              <w:jc w:val="center"/>
              <w:rPr>
                <w:rFonts w:ascii="Roboto" w:hAnsi="Roboto"/>
                <w:b/>
                <w:bCs/>
                <w:i/>
                <w:iCs/>
                <w:color w:val="404040" w:themeColor="text1" w:themeTint="BF"/>
                <w:sz w:val="18"/>
                <w:szCs w:val="18"/>
                <w:lang w:val="en-GB"/>
                <w14:textOutline w14:w="15875" w14:cap="rnd" w14:cmpd="sng" w14:algn="ctr">
                  <w14:noFill/>
                  <w14:prstDash w14:val="solid"/>
                  <w14:bevel/>
                </w14:textOutline>
              </w:rPr>
            </w:pPr>
            <w:r w:rsidRPr="003C206F">
              <w:rPr>
                <w:rFonts w:ascii="Roboto" w:hAnsi="Roboto" w:cs="Calibri"/>
                <w:i/>
                <w:iCs/>
                <w:color w:val="404040" w:themeColor="text1" w:themeTint="BF"/>
                <w:sz w:val="18"/>
                <w:szCs w:val="18"/>
                <w:lang w:val="en-GB"/>
              </w:rPr>
              <w:t>Due to a lack of available data, the forecast for the KSA cannot be estimated.</w:t>
            </w:r>
          </w:p>
        </w:tc>
      </w:tr>
      <w:tr w:rsidR="00871C7A" w:rsidRPr="003C206F" w14:paraId="2A68A0D1" w14:textId="77777777" w:rsidTr="00BC36DE">
        <w:tc>
          <w:tcPr>
            <w:tcW w:w="8960" w:type="dxa"/>
            <w:tcBorders>
              <w:top w:val="nil"/>
            </w:tcBorders>
          </w:tcPr>
          <w:p w14:paraId="4D00B092" w14:textId="77777777" w:rsidR="00871C7A" w:rsidRDefault="00871C7A" w:rsidP="00764B23">
            <w:pPr>
              <w:rPr>
                <w:rFonts w:ascii="Roboto" w:hAnsi="Roboto" w:cs="Calibri"/>
                <w:b/>
                <w:color w:val="404040" w:themeColor="text1" w:themeTint="BF"/>
                <w:sz w:val="20"/>
                <w:szCs w:val="20"/>
                <w:lang w:val="en-GB"/>
                <w14:textOutline w14:w="38100" w14:cap="rnd" w14:cmpd="sng" w14:algn="ctr">
                  <w14:solidFill>
                    <w14:srgbClr w14:val="26BDE2"/>
                  </w14:solidFill>
                  <w14:prstDash w14:val="solid"/>
                  <w14:bevel/>
                </w14:textOutline>
              </w:rPr>
            </w:pPr>
            <w:r w:rsidRPr="003C206F">
              <w:rPr>
                <w:rFonts w:ascii="Roboto" w:hAnsi="Roboto"/>
                <w:b/>
                <w:bCs/>
                <w:noProof/>
                <w:color w:val="404040" w:themeColor="text1" w:themeTint="BF"/>
                <w:lang w:val="en-GB"/>
                <w14:textOutline w14:w="38100" w14:cap="rnd" w14:cmpd="sng" w14:algn="ctr">
                  <w14:solidFill>
                    <w14:srgbClr w14:val="26BDE2"/>
                  </w14:solidFill>
                  <w14:prstDash w14:val="solid"/>
                  <w14:bevel/>
                </w14:textOutline>
              </w:rPr>
              <w:drawing>
                <wp:inline distT="0" distB="0" distL="0" distR="0" wp14:anchorId="7ADA125B" wp14:editId="10235C39">
                  <wp:extent cx="2743200" cy="2743200"/>
                  <wp:effectExtent l="0" t="0" r="0" b="0"/>
                  <wp:docPr id="516" name="Chart 516">
                    <a:extLst xmlns:a="http://schemas.openxmlformats.org/drawingml/2006/main">
                      <a:ext uri="{FF2B5EF4-FFF2-40B4-BE49-F238E27FC236}">
                        <a16:creationId xmlns:a16="http://schemas.microsoft.com/office/drawing/2014/main" id="{F407D5A1-A9FA-4034-A22F-FEE2CF33C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C206F">
              <w:rPr>
                <w:rFonts w:ascii="Roboto" w:hAnsi="Roboto"/>
                <w:b/>
                <w:bCs/>
                <w:noProof/>
                <w:color w:val="404040" w:themeColor="text1" w:themeTint="BF"/>
                <w:lang w:val="en-GB"/>
                <w14:textOutline w14:w="38100" w14:cap="rnd" w14:cmpd="sng" w14:algn="ctr">
                  <w14:solidFill>
                    <w14:srgbClr w14:val="26BDE2"/>
                  </w14:solidFill>
                  <w14:prstDash w14:val="solid"/>
                  <w14:bevel/>
                </w14:textOutline>
              </w:rPr>
              <w:drawing>
                <wp:inline distT="0" distB="0" distL="0" distR="0" wp14:anchorId="4A94F3CB" wp14:editId="712D6968">
                  <wp:extent cx="2743200" cy="2743200"/>
                  <wp:effectExtent l="0" t="0" r="0" b="0"/>
                  <wp:docPr id="517" name="Chart 517">
                    <a:extLst xmlns:a="http://schemas.openxmlformats.org/drawingml/2006/main">
                      <a:ext uri="{FF2B5EF4-FFF2-40B4-BE49-F238E27FC236}">
                        <a16:creationId xmlns:a16="http://schemas.microsoft.com/office/drawing/2014/main" id="{E2D1226F-00E0-4D4D-9134-D1FE70F98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C206F">
              <w:rPr>
                <w:rFonts w:ascii="Roboto" w:hAnsi="Roboto"/>
                <w:b/>
                <w:bCs/>
                <w:noProof/>
                <w:color w:val="404040" w:themeColor="text1" w:themeTint="BF"/>
                <w:lang w:val="en-GB"/>
                <w14:textOutline w14:w="38100" w14:cap="rnd" w14:cmpd="sng" w14:algn="ctr">
                  <w14:solidFill>
                    <w14:srgbClr w14:val="26BDE2"/>
                  </w14:solidFill>
                  <w14:prstDash w14:val="solid"/>
                  <w14:bevel/>
                </w14:textOutline>
              </w:rPr>
              <w:drawing>
                <wp:inline distT="0" distB="0" distL="0" distR="0" wp14:anchorId="3A0001D4" wp14:editId="49AA9ED1">
                  <wp:extent cx="2743200" cy="2743200"/>
                  <wp:effectExtent l="0" t="0" r="0" b="0"/>
                  <wp:docPr id="518" name="Chart 518">
                    <a:extLst xmlns:a="http://schemas.openxmlformats.org/drawingml/2006/main">
                      <a:ext uri="{FF2B5EF4-FFF2-40B4-BE49-F238E27FC236}">
                        <a16:creationId xmlns:a16="http://schemas.microsoft.com/office/drawing/2014/main" id="{C69C3521-CD60-44DA-B39F-088E9043E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C206F">
              <w:rPr>
                <w:rFonts w:ascii="Roboto" w:hAnsi="Roboto"/>
                <w:b/>
                <w:bCs/>
                <w:noProof/>
                <w:color w:val="404040" w:themeColor="text1" w:themeTint="BF"/>
                <w:lang w:val="en-GB"/>
                <w14:textOutline w14:w="38100" w14:cap="rnd" w14:cmpd="sng" w14:algn="ctr">
                  <w14:solidFill>
                    <w14:srgbClr w14:val="26BDE2"/>
                  </w14:solidFill>
                  <w14:prstDash w14:val="solid"/>
                  <w14:bevel/>
                </w14:textOutline>
              </w:rPr>
              <w:drawing>
                <wp:inline distT="0" distB="0" distL="0" distR="0" wp14:anchorId="61FF8477" wp14:editId="319B9511">
                  <wp:extent cx="2743200" cy="2743200"/>
                  <wp:effectExtent l="0" t="0" r="0" b="0"/>
                  <wp:docPr id="519" name="Chart 519">
                    <a:extLst xmlns:a="http://schemas.openxmlformats.org/drawingml/2006/main">
                      <a:ext uri="{FF2B5EF4-FFF2-40B4-BE49-F238E27FC236}">
                        <a16:creationId xmlns:a16="http://schemas.microsoft.com/office/drawing/2014/main" id="{9B008D6B-07B7-45C7-8F44-1FC1BA38A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7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tblGrid>
            <w:tr w:rsidR="00871C7A" w:rsidRPr="006560F8" w14:paraId="52646574" w14:textId="77777777" w:rsidTr="00666807">
              <w:trPr>
                <w:jc w:val="center"/>
              </w:trPr>
              <w:tc>
                <w:tcPr>
                  <w:tcW w:w="1899" w:type="dxa"/>
                  <w:vAlign w:val="center"/>
                </w:tcPr>
                <w:p w14:paraId="2E82C062"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1B9C55D6" wp14:editId="5795AC83">
                        <wp:extent cx="822960" cy="89037"/>
                        <wp:effectExtent l="0" t="0" r="2540" b="0"/>
                        <wp:docPr id="512" name="Picture 5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Icon&#10;&#10;Description automatically generated"/>
                                <pic:cNvPicPr/>
                              </pic:nvPicPr>
                              <pic:blipFill rotWithShape="1">
                                <a:blip r:embed="rId38" cstate="print">
                                  <a:extLst>
                                    <a:ext uri="{28A0092B-C50C-407E-A947-70E740481C1C}">
                                      <a14:useLocalDpi xmlns:a14="http://schemas.microsoft.com/office/drawing/2010/main" val="0"/>
                                    </a:ext>
                                  </a:extLst>
                                </a:blip>
                                <a:srcRect t="28494" b="33124"/>
                                <a:stretch/>
                              </pic:blipFill>
                              <pic:spPr bwMode="auto">
                                <a:xfrm>
                                  <a:off x="0" y="0"/>
                                  <a:ext cx="822960" cy="89037"/>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691B464B" w14:textId="7984A07D" w:rsidR="00871C7A" w:rsidRPr="00CE6837" w:rsidRDefault="00871C7A" w:rsidP="00666807">
                  <w:pPr>
                    <w:rPr>
                      <w:rFonts w:ascii="Roboto" w:hAnsi="Roboto" w:cs="Calibri"/>
                      <w:color w:val="404040" w:themeColor="text1" w:themeTint="BF"/>
                      <w:sz w:val="14"/>
                      <w:szCs w:val="14"/>
                      <w:lang w:val="en-GB"/>
                    </w:rPr>
                  </w:pP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w:t>
                  </w:r>
                  <w:r>
                    <w:rPr>
                      <w:rFonts w:ascii="Roboto" w:hAnsi="Roboto" w:cs="Calibri"/>
                      <w:b/>
                      <w:color w:val="404040" w:themeColor="text1" w:themeTint="BF"/>
                      <w:sz w:val="14"/>
                      <w:szCs w:val="14"/>
                      <w:lang w:val="en-GB"/>
                    </w:rPr>
                    <w:t xml:space="preserve">’s </w:t>
                  </w:r>
                  <w:r w:rsidRPr="00736315">
                    <w:rPr>
                      <w:rFonts w:ascii="Roboto" w:hAnsi="Roboto" w:cs="Calibri"/>
                      <w:b/>
                      <w:color w:val="404040" w:themeColor="text1" w:themeTint="BF"/>
                      <w:sz w:val="14"/>
                      <w:szCs w:val="14"/>
                      <w:lang w:val="en-GB"/>
                    </w:rPr>
                    <w:t>historical SDG trend</w:t>
                  </w:r>
                </w:p>
              </w:tc>
              <w:tc>
                <w:tcPr>
                  <w:tcW w:w="1899" w:type="dxa"/>
                  <w:vAlign w:val="center"/>
                </w:tcPr>
                <w:p w14:paraId="56648B27"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2407F927" wp14:editId="60EE25A8">
                        <wp:extent cx="877824" cy="92331"/>
                        <wp:effectExtent l="0" t="0" r="0" b="0"/>
                        <wp:docPr id="514" name="Picture 5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t="26831" b="31697"/>
                                <a:stretch/>
                              </pic:blipFill>
                              <pic:spPr bwMode="auto">
                                <a:xfrm>
                                  <a:off x="0" y="0"/>
                                  <a:ext cx="877824" cy="92331"/>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6A3B4430" w14:textId="77777777" w:rsidR="00871C7A"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top-performing countries’ average SDG trend</w:t>
                  </w:r>
                </w:p>
                <w:p w14:paraId="7EB3CA4A" w14:textId="77777777" w:rsidR="00871C7A" w:rsidRPr="00736315" w:rsidRDefault="00871C7A" w:rsidP="00666807">
                  <w:pPr>
                    <w:rPr>
                      <w:rFonts w:ascii="Roboto" w:hAnsi="Roboto" w:cs="Calibri"/>
                      <w:b/>
                      <w:color w:val="404040" w:themeColor="text1" w:themeTint="BF"/>
                      <w:sz w:val="14"/>
                      <w:szCs w:val="14"/>
                      <w:lang w:val="en-GB"/>
                    </w:rPr>
                  </w:pPr>
                </w:p>
              </w:tc>
            </w:tr>
            <w:tr w:rsidR="00871C7A" w:rsidRPr="006560F8" w14:paraId="3E389441" w14:textId="77777777" w:rsidTr="00666807">
              <w:trPr>
                <w:jc w:val="center"/>
              </w:trPr>
              <w:tc>
                <w:tcPr>
                  <w:tcW w:w="1899" w:type="dxa"/>
                  <w:vAlign w:val="center"/>
                </w:tcPr>
                <w:p w14:paraId="7094F49F"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2B278BBA" wp14:editId="2728356A">
                        <wp:extent cx="868680" cy="96669"/>
                        <wp:effectExtent l="0" t="0" r="0" b="5080"/>
                        <wp:docPr id="515" name="Picture 515" descr="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 application, chat or text message, icon&#10;&#10;Description automatically generated"/>
                                <pic:cNvPicPr/>
                              </pic:nvPicPr>
                              <pic:blipFill rotWithShape="1">
                                <a:blip r:embed="rId40" cstate="print">
                                  <a:extLst>
                                    <a:ext uri="{28A0092B-C50C-407E-A947-70E740481C1C}">
                                      <a14:useLocalDpi xmlns:a14="http://schemas.microsoft.com/office/drawing/2010/main" val="0"/>
                                    </a:ext>
                                  </a:extLst>
                                </a:blip>
                                <a:srcRect t="26046" b="33613"/>
                                <a:stretch/>
                              </pic:blipFill>
                              <pic:spPr bwMode="auto">
                                <a:xfrm flipV="1">
                                  <a:off x="0" y="0"/>
                                  <a:ext cx="868680" cy="96669"/>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1D795DAB"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 xml:space="preserve">Continuation of </w:t>
                  </w: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KSA’s historical SDG trend</w:t>
                  </w:r>
                </w:p>
              </w:tc>
              <w:tc>
                <w:tcPr>
                  <w:tcW w:w="1899" w:type="dxa"/>
                  <w:vAlign w:val="center"/>
                </w:tcPr>
                <w:p w14:paraId="540B1DCB"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4C95EAFD" wp14:editId="2E64D0B1">
                        <wp:extent cx="872546" cy="98047"/>
                        <wp:effectExtent l="0" t="0" r="3810" b="3810"/>
                        <wp:docPr id="529" name="Picture 529"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chat or text message, icon&#10;&#10;Description automatically generated"/>
                                <pic:cNvPicPr/>
                              </pic:nvPicPr>
                              <pic:blipFill rotWithShape="1">
                                <a:blip r:embed="rId41" cstate="print">
                                  <a:extLst>
                                    <a:ext uri="{28A0092B-C50C-407E-A947-70E740481C1C}">
                                      <a14:useLocalDpi xmlns:a14="http://schemas.microsoft.com/office/drawing/2010/main" val="0"/>
                                    </a:ext>
                                  </a:extLst>
                                </a:blip>
                                <a:srcRect t="28584" r="3785" b="35713"/>
                                <a:stretch/>
                              </pic:blipFill>
                              <pic:spPr bwMode="auto">
                                <a:xfrm>
                                  <a:off x="0" y="0"/>
                                  <a:ext cx="881272" cy="99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4982E92F"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bottom-performing countries’ average SDG trend</w:t>
                  </w:r>
                </w:p>
              </w:tc>
            </w:tr>
          </w:tbl>
          <w:p w14:paraId="26A5317F" w14:textId="0EF7A1A3" w:rsidR="00871C7A" w:rsidRPr="003C206F" w:rsidRDefault="00871C7A" w:rsidP="00764B23">
            <w:pPr>
              <w:rPr>
                <w:rFonts w:ascii="Roboto" w:hAnsi="Roboto" w:cs="Calibri"/>
                <w:b/>
                <w:bCs/>
                <w:color w:val="404040" w:themeColor="text1" w:themeTint="BF"/>
                <w:sz w:val="20"/>
                <w:szCs w:val="20"/>
                <w:lang w:val="en-GB"/>
                <w14:textOutline w14:w="38100" w14:cap="rnd" w14:cmpd="sng" w14:algn="ctr">
                  <w14:solidFill>
                    <w14:srgbClr w14:val="26BDE2"/>
                  </w14:solidFill>
                  <w14:prstDash w14:val="solid"/>
                  <w14:bevel/>
                </w14:textOutline>
              </w:rPr>
            </w:pPr>
          </w:p>
        </w:tc>
      </w:tr>
    </w:tbl>
    <w:p w14:paraId="38790A23" w14:textId="77777777" w:rsidR="00871C7A" w:rsidRPr="003C206F" w:rsidRDefault="00871C7A" w:rsidP="0034335E">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077E2FA8" w14:textId="77777777" w:rsidR="00163287" w:rsidRDefault="003F103D" w:rsidP="003F103D">
      <w:pPr>
        <w:pStyle w:val="NormalWeb"/>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Relative SDG performance based on similar countries</w:t>
      </w:r>
      <w:r w:rsidRPr="003C206F">
        <w:rPr>
          <w:rFonts w:ascii="Roboto" w:hAnsi="Roboto" w:cs="Calibri"/>
          <w:color w:val="404040" w:themeColor="text1" w:themeTint="BF"/>
          <w:sz w:val="21"/>
          <w:szCs w:val="21"/>
          <w:lang w:val="en-GB"/>
        </w:rPr>
        <w:t xml:space="preserve">: </w:t>
      </w:r>
    </w:p>
    <w:p w14:paraId="4AB6A351" w14:textId="0749577E" w:rsidR="00163287" w:rsidRDefault="00163287" w:rsidP="00163287">
      <w:pPr>
        <w:pStyle w:val="NormalWeb"/>
        <w:numPr>
          <w:ilvl w:val="0"/>
          <w:numId w:val="30"/>
        </w:numPr>
        <w:spacing w:before="0" w:beforeAutospacing="0" w:after="0" w:afterAutospacing="0"/>
        <w:jc w:val="both"/>
        <w:textAlignment w:val="baseline"/>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F</w:t>
      </w:r>
      <w:r w:rsidR="003F103D" w:rsidRPr="003C206F">
        <w:rPr>
          <w:rFonts w:ascii="Roboto" w:hAnsi="Roboto" w:cs="Calibri"/>
          <w:color w:val="404040" w:themeColor="text1" w:themeTint="BF"/>
          <w:sz w:val="21"/>
          <w:szCs w:val="21"/>
          <w:lang w:val="en-GB"/>
        </w:rPr>
        <w:t xml:space="preserve">or SDG 1, the KSA’s performance is indeterminate due to </w:t>
      </w:r>
      <w:r w:rsidR="003F103D">
        <w:rPr>
          <w:rFonts w:ascii="Roboto" w:hAnsi="Roboto" w:cs="Calibri"/>
          <w:color w:val="404040" w:themeColor="text1" w:themeTint="BF"/>
          <w:sz w:val="21"/>
          <w:szCs w:val="21"/>
          <w:lang w:val="en-GB"/>
        </w:rPr>
        <w:t xml:space="preserve">a </w:t>
      </w:r>
      <w:r w:rsidR="003F103D" w:rsidRPr="003C206F">
        <w:rPr>
          <w:rFonts w:ascii="Roboto" w:hAnsi="Roboto" w:cs="Calibri"/>
          <w:color w:val="404040" w:themeColor="text1" w:themeTint="BF"/>
          <w:sz w:val="21"/>
          <w:szCs w:val="21"/>
          <w:lang w:val="en-GB"/>
        </w:rPr>
        <w:t xml:space="preserve">lack of data </w:t>
      </w:r>
      <w:proofErr w:type="gramStart"/>
      <w:r w:rsidR="003F103D" w:rsidRPr="003C206F">
        <w:rPr>
          <w:rFonts w:ascii="Roboto" w:hAnsi="Roboto" w:cs="Calibri"/>
          <w:color w:val="404040" w:themeColor="text1" w:themeTint="BF"/>
          <w:sz w:val="21"/>
          <w:szCs w:val="21"/>
          <w:lang w:val="en-GB"/>
        </w:rPr>
        <w:t>availability;</w:t>
      </w:r>
      <w:proofErr w:type="gramEnd"/>
      <w:r w:rsidR="003F103D" w:rsidRPr="003C206F">
        <w:rPr>
          <w:rFonts w:ascii="Roboto" w:hAnsi="Roboto" w:cs="Calibri"/>
          <w:color w:val="404040" w:themeColor="text1" w:themeTint="BF"/>
          <w:sz w:val="21"/>
          <w:szCs w:val="21"/>
          <w:lang w:val="en-GB"/>
        </w:rPr>
        <w:t xml:space="preserve"> </w:t>
      </w:r>
    </w:p>
    <w:p w14:paraId="75A70CB9" w14:textId="23AE3280" w:rsidR="00163287" w:rsidRDefault="00163287" w:rsidP="00163287">
      <w:pPr>
        <w:pStyle w:val="NormalWeb"/>
        <w:numPr>
          <w:ilvl w:val="0"/>
          <w:numId w:val="30"/>
        </w:numPr>
        <w:spacing w:before="0" w:beforeAutospacing="0" w:after="0" w:afterAutospacing="0"/>
        <w:jc w:val="both"/>
        <w:textAlignment w:val="baseline"/>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F</w:t>
      </w:r>
      <w:r w:rsidR="003F103D" w:rsidRPr="003C206F">
        <w:rPr>
          <w:rFonts w:ascii="Roboto" w:hAnsi="Roboto" w:cs="Calibri"/>
          <w:color w:val="404040" w:themeColor="text1" w:themeTint="BF"/>
          <w:sz w:val="21"/>
          <w:szCs w:val="21"/>
          <w:lang w:val="en-GB"/>
        </w:rPr>
        <w:t xml:space="preserve">or SDG 2, the KSA is outperforming its five most similar and </w:t>
      </w:r>
      <w:proofErr w:type="gramStart"/>
      <w:r w:rsidR="003F103D" w:rsidRPr="003C206F">
        <w:rPr>
          <w:rFonts w:ascii="Roboto" w:hAnsi="Roboto" w:cs="Calibri"/>
          <w:color w:val="404040" w:themeColor="text1" w:themeTint="BF"/>
          <w:sz w:val="21"/>
          <w:szCs w:val="21"/>
          <w:lang w:val="en-GB"/>
        </w:rPr>
        <w:t>best-performing</w:t>
      </w:r>
      <w:proofErr w:type="gramEnd"/>
      <w:r w:rsidR="003F103D" w:rsidRPr="003C206F">
        <w:rPr>
          <w:rFonts w:ascii="Roboto" w:hAnsi="Roboto" w:cs="Calibri"/>
          <w:color w:val="404040" w:themeColor="text1" w:themeTint="BF"/>
          <w:sz w:val="21"/>
          <w:szCs w:val="21"/>
          <w:lang w:val="en-GB"/>
        </w:rPr>
        <w:t xml:space="preserve"> countries; </w:t>
      </w:r>
    </w:p>
    <w:p w14:paraId="5409C444" w14:textId="6CD4150A" w:rsidR="00163287" w:rsidRDefault="00163287" w:rsidP="00163287">
      <w:pPr>
        <w:pStyle w:val="NormalWeb"/>
        <w:numPr>
          <w:ilvl w:val="0"/>
          <w:numId w:val="30"/>
        </w:numPr>
        <w:spacing w:before="0" w:beforeAutospacing="0" w:after="0" w:afterAutospacing="0"/>
        <w:jc w:val="both"/>
        <w:textAlignment w:val="baseline"/>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lastRenderedPageBreak/>
        <w:t>F</w:t>
      </w:r>
      <w:r w:rsidR="003F103D" w:rsidRPr="003C206F">
        <w:rPr>
          <w:rFonts w:ascii="Roboto" w:hAnsi="Roboto" w:cs="Calibri"/>
          <w:color w:val="404040" w:themeColor="text1" w:themeTint="BF"/>
          <w:sz w:val="21"/>
          <w:szCs w:val="21"/>
          <w:lang w:val="en-GB"/>
        </w:rPr>
        <w:t xml:space="preserve">or SDG 3, the KSA has moderate upward potential as compared to its five most similar and </w:t>
      </w:r>
      <w:proofErr w:type="gramStart"/>
      <w:r w:rsidR="003F103D" w:rsidRPr="003C206F">
        <w:rPr>
          <w:rFonts w:ascii="Roboto" w:hAnsi="Roboto" w:cs="Calibri"/>
          <w:color w:val="404040" w:themeColor="text1" w:themeTint="BF"/>
          <w:sz w:val="21"/>
          <w:szCs w:val="21"/>
          <w:lang w:val="en-GB"/>
        </w:rPr>
        <w:t>best-performing</w:t>
      </w:r>
      <w:proofErr w:type="gramEnd"/>
      <w:r w:rsidR="003F103D" w:rsidRPr="003C206F">
        <w:rPr>
          <w:rFonts w:ascii="Roboto" w:hAnsi="Roboto" w:cs="Calibri"/>
          <w:color w:val="404040" w:themeColor="text1" w:themeTint="BF"/>
          <w:sz w:val="21"/>
          <w:szCs w:val="21"/>
          <w:lang w:val="en-GB"/>
        </w:rPr>
        <w:t xml:space="preserve"> countries; </w:t>
      </w:r>
    </w:p>
    <w:p w14:paraId="702289DC" w14:textId="45F79302" w:rsidR="00163287" w:rsidRDefault="00163287" w:rsidP="00163287">
      <w:pPr>
        <w:pStyle w:val="NormalWeb"/>
        <w:numPr>
          <w:ilvl w:val="0"/>
          <w:numId w:val="30"/>
        </w:numPr>
        <w:spacing w:before="0" w:beforeAutospacing="0" w:after="0" w:afterAutospacing="0"/>
        <w:jc w:val="both"/>
        <w:textAlignment w:val="baseline"/>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F</w:t>
      </w:r>
      <w:r w:rsidR="003F103D" w:rsidRPr="003C206F">
        <w:rPr>
          <w:rFonts w:ascii="Roboto" w:hAnsi="Roboto" w:cs="Calibri"/>
          <w:color w:val="404040" w:themeColor="text1" w:themeTint="BF"/>
          <w:sz w:val="21"/>
          <w:szCs w:val="21"/>
          <w:lang w:val="en-GB"/>
        </w:rPr>
        <w:t xml:space="preserve">or SDG 4, the KSA is almost outperforming its five most similar and best-performing countries; and </w:t>
      </w:r>
    </w:p>
    <w:p w14:paraId="3125EB47" w14:textId="45CF8FE3" w:rsidR="003F103D" w:rsidRPr="003C206F" w:rsidRDefault="00163287" w:rsidP="003F0EDB">
      <w:pPr>
        <w:pStyle w:val="NormalWeb"/>
        <w:numPr>
          <w:ilvl w:val="0"/>
          <w:numId w:val="30"/>
        </w:numPr>
        <w:spacing w:before="0" w:beforeAutospacing="0" w:after="0" w:afterAutospacing="0"/>
        <w:jc w:val="both"/>
        <w:textAlignment w:val="baseline"/>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F</w:t>
      </w:r>
      <w:r w:rsidR="003F103D" w:rsidRPr="003C206F">
        <w:rPr>
          <w:rFonts w:ascii="Roboto" w:hAnsi="Roboto" w:cs="Calibri"/>
          <w:color w:val="404040" w:themeColor="text1" w:themeTint="BF"/>
          <w:sz w:val="21"/>
          <w:szCs w:val="21"/>
          <w:lang w:val="en-GB"/>
        </w:rPr>
        <w:t>or SDG 5, the KSA is outperforming its five most similar and best-performing countries.</w:t>
      </w:r>
    </w:p>
    <w:p w14:paraId="16BFC9E7" w14:textId="77777777" w:rsidR="003F103D" w:rsidRPr="003C206F" w:rsidRDefault="003F103D" w:rsidP="003F103D">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44899BAD" w14:textId="77777777" w:rsidR="00163287" w:rsidRDefault="003F103D" w:rsidP="003F103D">
      <w:pPr>
        <w:pStyle w:val="NormalWeb"/>
        <w:spacing w:before="0" w:beforeAutospacing="0" w:after="0" w:afterAutospacing="0"/>
        <w:jc w:val="both"/>
        <w:textAlignment w:val="baseline"/>
        <w:rPr>
          <w:rFonts w:ascii="Roboto" w:hAnsi="Roboto"/>
          <w:color w:val="404040" w:themeColor="text1" w:themeTint="BF"/>
          <w:sz w:val="21"/>
          <w:szCs w:val="21"/>
          <w:lang w:val="en-GB"/>
        </w:rPr>
      </w:pPr>
      <w:r w:rsidRPr="003C206F">
        <w:rPr>
          <w:rFonts w:ascii="Roboto" w:hAnsi="Roboto"/>
          <w:color w:val="404040" w:themeColor="text1" w:themeTint="BF"/>
          <w:sz w:val="21"/>
          <w:szCs w:val="21"/>
          <w:u w:val="single"/>
          <w:lang w:val="en-GB"/>
        </w:rPr>
        <w:t>SDG/SDR indicators on track</w:t>
      </w:r>
      <w:r w:rsidRPr="003C206F">
        <w:rPr>
          <w:rFonts w:ascii="Roboto" w:hAnsi="Roboto"/>
          <w:color w:val="404040" w:themeColor="text1" w:themeTint="BF"/>
          <w:sz w:val="21"/>
          <w:szCs w:val="21"/>
          <w:lang w:val="en-GB"/>
        </w:rPr>
        <w:t xml:space="preserve">: </w:t>
      </w:r>
    </w:p>
    <w:p w14:paraId="12B10B85" w14:textId="46CFE157" w:rsidR="00163287" w:rsidRDefault="00163287" w:rsidP="00163287">
      <w:pPr>
        <w:pStyle w:val="NormalWeb"/>
        <w:numPr>
          <w:ilvl w:val="0"/>
          <w:numId w:val="31"/>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3F103D" w:rsidRPr="003C206F">
        <w:rPr>
          <w:rFonts w:ascii="Roboto" w:hAnsi="Roboto"/>
          <w:color w:val="404040" w:themeColor="text1" w:themeTint="BF"/>
          <w:sz w:val="21"/>
          <w:szCs w:val="21"/>
          <w:lang w:val="en-GB"/>
        </w:rPr>
        <w:t xml:space="preserve">or SDG 1, the KSA’s performance is indeterminate </w:t>
      </w:r>
      <w:r w:rsidR="003F103D" w:rsidRPr="003C206F">
        <w:rPr>
          <w:rFonts w:ascii="Roboto" w:hAnsi="Roboto" w:cs="Calibri"/>
          <w:color w:val="404040" w:themeColor="text1" w:themeTint="BF"/>
          <w:sz w:val="21"/>
          <w:szCs w:val="21"/>
          <w:lang w:val="en-GB"/>
        </w:rPr>
        <w:t>due to</w:t>
      </w:r>
      <w:r w:rsidR="003F103D">
        <w:rPr>
          <w:rFonts w:ascii="Roboto" w:hAnsi="Roboto" w:cs="Calibri"/>
          <w:color w:val="404040" w:themeColor="text1" w:themeTint="BF"/>
          <w:sz w:val="21"/>
          <w:szCs w:val="21"/>
          <w:lang w:val="en-GB"/>
        </w:rPr>
        <w:t xml:space="preserve"> a</w:t>
      </w:r>
      <w:r w:rsidR="003F103D" w:rsidRPr="003C206F">
        <w:rPr>
          <w:rFonts w:ascii="Roboto" w:hAnsi="Roboto" w:cs="Calibri"/>
          <w:color w:val="404040" w:themeColor="text1" w:themeTint="BF"/>
          <w:sz w:val="21"/>
          <w:szCs w:val="21"/>
          <w:lang w:val="en-GB"/>
        </w:rPr>
        <w:t xml:space="preserve"> lack of data </w:t>
      </w:r>
      <w:proofErr w:type="gramStart"/>
      <w:r w:rsidR="003F103D" w:rsidRPr="003C206F">
        <w:rPr>
          <w:rFonts w:ascii="Roboto" w:hAnsi="Roboto" w:cs="Calibri"/>
          <w:color w:val="404040" w:themeColor="text1" w:themeTint="BF"/>
          <w:sz w:val="21"/>
          <w:szCs w:val="21"/>
          <w:lang w:val="en-GB"/>
        </w:rPr>
        <w:t>availability</w:t>
      </w:r>
      <w:r w:rsidR="003F103D" w:rsidRPr="003C206F">
        <w:rPr>
          <w:rFonts w:ascii="Roboto" w:hAnsi="Roboto"/>
          <w:color w:val="404040" w:themeColor="text1" w:themeTint="BF"/>
          <w:sz w:val="21"/>
          <w:szCs w:val="21"/>
          <w:lang w:val="en-GB"/>
        </w:rPr>
        <w:t>;</w:t>
      </w:r>
      <w:proofErr w:type="gramEnd"/>
      <w:r w:rsidR="003F103D" w:rsidRPr="003C206F">
        <w:rPr>
          <w:rFonts w:ascii="Roboto" w:hAnsi="Roboto"/>
          <w:color w:val="404040" w:themeColor="text1" w:themeTint="BF"/>
          <w:sz w:val="21"/>
          <w:szCs w:val="21"/>
          <w:lang w:val="en-GB"/>
        </w:rPr>
        <w:t xml:space="preserve"> </w:t>
      </w:r>
    </w:p>
    <w:p w14:paraId="17DEBFA9" w14:textId="30049355" w:rsidR="00163287" w:rsidRDefault="00163287" w:rsidP="00163287">
      <w:pPr>
        <w:pStyle w:val="NormalWeb"/>
        <w:numPr>
          <w:ilvl w:val="0"/>
          <w:numId w:val="31"/>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3F103D" w:rsidRPr="003C206F">
        <w:rPr>
          <w:rFonts w:ascii="Roboto" w:hAnsi="Roboto"/>
          <w:color w:val="404040" w:themeColor="text1" w:themeTint="BF"/>
          <w:sz w:val="21"/>
          <w:szCs w:val="21"/>
          <w:lang w:val="en-GB"/>
        </w:rPr>
        <w:t xml:space="preserve">or SDG 2, three of eight SDG/SDR indicators are on </w:t>
      </w:r>
      <w:proofErr w:type="gramStart"/>
      <w:r w:rsidR="003F103D" w:rsidRPr="003C206F">
        <w:rPr>
          <w:rFonts w:ascii="Roboto" w:hAnsi="Roboto"/>
          <w:color w:val="404040" w:themeColor="text1" w:themeTint="BF"/>
          <w:sz w:val="21"/>
          <w:szCs w:val="21"/>
          <w:lang w:val="en-GB"/>
        </w:rPr>
        <w:t>track;</w:t>
      </w:r>
      <w:proofErr w:type="gramEnd"/>
      <w:r w:rsidR="003F103D" w:rsidRPr="003C206F">
        <w:rPr>
          <w:rFonts w:ascii="Roboto" w:hAnsi="Roboto"/>
          <w:color w:val="404040" w:themeColor="text1" w:themeTint="BF"/>
          <w:sz w:val="21"/>
          <w:szCs w:val="21"/>
          <w:lang w:val="en-GB"/>
        </w:rPr>
        <w:t xml:space="preserve"> </w:t>
      </w:r>
    </w:p>
    <w:p w14:paraId="1447AB0F" w14:textId="3A94FDB8" w:rsidR="00163287" w:rsidRDefault="00163287" w:rsidP="00163287">
      <w:pPr>
        <w:pStyle w:val="NormalWeb"/>
        <w:numPr>
          <w:ilvl w:val="0"/>
          <w:numId w:val="31"/>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3F103D" w:rsidRPr="003C206F">
        <w:rPr>
          <w:rFonts w:ascii="Roboto" w:hAnsi="Roboto"/>
          <w:color w:val="404040" w:themeColor="text1" w:themeTint="BF"/>
          <w:sz w:val="21"/>
          <w:szCs w:val="21"/>
          <w:lang w:val="en-GB"/>
        </w:rPr>
        <w:t xml:space="preserve">or SDG 3, nine of 14 SDG/SDR indicators are on </w:t>
      </w:r>
      <w:proofErr w:type="gramStart"/>
      <w:r w:rsidR="003F103D" w:rsidRPr="003C206F">
        <w:rPr>
          <w:rFonts w:ascii="Roboto" w:hAnsi="Roboto"/>
          <w:color w:val="404040" w:themeColor="text1" w:themeTint="BF"/>
          <w:sz w:val="21"/>
          <w:szCs w:val="21"/>
          <w:lang w:val="en-GB"/>
        </w:rPr>
        <w:t>track;</w:t>
      </w:r>
      <w:proofErr w:type="gramEnd"/>
      <w:r w:rsidR="003F103D" w:rsidRPr="003C206F">
        <w:rPr>
          <w:rFonts w:ascii="Roboto" w:hAnsi="Roboto"/>
          <w:color w:val="404040" w:themeColor="text1" w:themeTint="BF"/>
          <w:sz w:val="21"/>
          <w:szCs w:val="21"/>
          <w:lang w:val="en-GB"/>
        </w:rPr>
        <w:t xml:space="preserve"> </w:t>
      </w:r>
    </w:p>
    <w:p w14:paraId="47984E51" w14:textId="38689A58" w:rsidR="00163287" w:rsidRDefault="00163287" w:rsidP="00163287">
      <w:pPr>
        <w:pStyle w:val="NormalWeb"/>
        <w:numPr>
          <w:ilvl w:val="0"/>
          <w:numId w:val="31"/>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3F103D" w:rsidRPr="003C206F">
        <w:rPr>
          <w:rFonts w:ascii="Roboto" w:hAnsi="Roboto"/>
          <w:color w:val="404040" w:themeColor="text1" w:themeTint="BF"/>
          <w:sz w:val="21"/>
          <w:szCs w:val="21"/>
          <w:lang w:val="en-GB"/>
        </w:rPr>
        <w:t xml:space="preserve">or SDG 4, one of three SDG/SDR indicators are on track; and </w:t>
      </w:r>
    </w:p>
    <w:p w14:paraId="1583C324" w14:textId="1FF5F033" w:rsidR="00871C7A" w:rsidRPr="003C206F" w:rsidRDefault="00163287" w:rsidP="003F0EDB">
      <w:pPr>
        <w:pStyle w:val="NormalWeb"/>
        <w:numPr>
          <w:ilvl w:val="0"/>
          <w:numId w:val="31"/>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3F103D" w:rsidRPr="003C206F">
        <w:rPr>
          <w:rFonts w:ascii="Roboto" w:hAnsi="Roboto"/>
          <w:color w:val="404040" w:themeColor="text1" w:themeTint="BF"/>
          <w:sz w:val="21"/>
          <w:szCs w:val="21"/>
          <w:lang w:val="en-GB"/>
        </w:rPr>
        <w:t>or SDG 5, one of four SDG/SDR indicators are on track.</w:t>
      </w:r>
    </w:p>
    <w:p w14:paraId="568AC51A" w14:textId="042B79F7" w:rsidR="00871C7A" w:rsidRDefault="00871C7A">
      <w:pPr>
        <w:rPr>
          <w:rFonts w:ascii="Roboto" w:hAnsi="Roboto" w:cs="Calibri"/>
          <w:color w:val="404040" w:themeColor="text1" w:themeTint="BF"/>
          <w:sz w:val="28"/>
          <w:szCs w:val="28"/>
          <w:lang w:val="en-GB"/>
        </w:rPr>
      </w:pPr>
      <w:r w:rsidRPr="00645128">
        <w:rPr>
          <w:rFonts w:ascii="Roboto" w:hAnsi="Roboto"/>
          <w:color w:val="404040" w:themeColor="text1" w:themeTint="BF"/>
          <w:lang w:val="en-GB"/>
        </w:rPr>
        <w:br w:type="page"/>
      </w:r>
    </w:p>
    <w:tbl>
      <w:tblPr>
        <w:tblStyle w:val="TableGrid"/>
        <w:tblW w:w="0" w:type="auto"/>
        <w:tblBorders>
          <w:top w:val="none" w:sz="0" w:space="0" w:color="auto"/>
          <w:left w:val="single" w:sz="24" w:space="0" w:color="FF3A21"/>
          <w:bottom w:val="none" w:sz="0" w:space="0" w:color="auto"/>
          <w:right w:val="none" w:sz="0" w:space="0" w:color="auto"/>
          <w:insideH w:val="single" w:sz="24" w:space="0" w:color="FF3A21"/>
          <w:insideV w:val="none" w:sz="0" w:space="0" w:color="auto"/>
        </w:tblBorders>
        <w:tblLook w:val="04A0" w:firstRow="1" w:lastRow="0" w:firstColumn="1" w:lastColumn="0" w:noHBand="0" w:noVBand="1"/>
      </w:tblPr>
      <w:tblGrid>
        <w:gridCol w:w="469"/>
        <w:gridCol w:w="8521"/>
      </w:tblGrid>
      <w:tr w:rsidR="00871C7A" w:rsidRPr="003C206F" w14:paraId="5B44E088" w14:textId="77777777" w:rsidTr="00395D77">
        <w:tc>
          <w:tcPr>
            <w:tcW w:w="420" w:type="dxa"/>
            <w:shd w:val="clear" w:color="auto" w:fill="FF3A21"/>
            <w:vAlign w:val="center"/>
          </w:tcPr>
          <w:p w14:paraId="70C64DB7"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lastRenderedPageBreak/>
              <w:t>2</w:t>
            </w:r>
          </w:p>
        </w:tc>
        <w:tc>
          <w:tcPr>
            <w:tcW w:w="9260" w:type="dxa"/>
          </w:tcPr>
          <w:p w14:paraId="02A050B5" w14:textId="4B32987C" w:rsidR="00871C7A" w:rsidRPr="003C206F" w:rsidRDefault="00871C7A" w:rsidP="00AB5876">
            <w:pPr>
              <w:pStyle w:val="NormalWeb"/>
              <w:spacing w:before="40" w:beforeAutospacing="0" w:after="40" w:afterAutospacing="0"/>
              <w:ind w:left="144" w:right="144"/>
              <w:jc w:val="both"/>
              <w:rPr>
                <w:rFonts w:ascii="Roboto" w:hAnsi="Roboto" w:cs="Calibri"/>
                <w:color w:val="404040" w:themeColor="text1" w:themeTint="BF"/>
                <w:sz w:val="22"/>
                <w:szCs w:val="22"/>
                <w:lang w:val="en-GB"/>
              </w:rPr>
            </w:pPr>
            <w:r w:rsidRPr="003C206F">
              <w:rPr>
                <w:rFonts w:ascii="Roboto" w:hAnsi="Roboto" w:cs="Calibri"/>
                <w:b/>
                <w:color w:val="404040" w:themeColor="text1" w:themeTint="BF"/>
                <w:sz w:val="22"/>
                <w:szCs w:val="22"/>
                <w:lang w:val="en-GB"/>
              </w:rPr>
              <w:t xml:space="preserve">Strategic Priority Area 2: Planet — </w:t>
            </w:r>
            <w:r w:rsidR="00C978D4">
              <w:rPr>
                <w:rFonts w:ascii="Roboto" w:hAnsi="Roboto" w:cs="Calibri"/>
                <w:b/>
                <w:color w:val="404040" w:themeColor="text1" w:themeTint="BF"/>
                <w:sz w:val="22"/>
                <w:szCs w:val="22"/>
                <w:lang w:val="en-GB"/>
              </w:rPr>
              <w:t>P</w:t>
            </w:r>
            <w:r w:rsidRPr="003C206F">
              <w:rPr>
                <w:rFonts w:ascii="Roboto" w:hAnsi="Roboto" w:cs="Calibri"/>
                <w:b/>
                <w:color w:val="404040" w:themeColor="text1" w:themeTint="BF"/>
                <w:sz w:val="22"/>
                <w:szCs w:val="22"/>
                <w:lang w:val="en-GB"/>
              </w:rPr>
              <w:t>rotect the planet from degradation through sustainable consumption and production, sustainably manage its natural resources, and take urgent action on climate change (SDGs 6, 12–15)</w:t>
            </w:r>
          </w:p>
        </w:tc>
      </w:tr>
    </w:tbl>
    <w:p w14:paraId="01A1677F" w14:textId="77777777" w:rsidR="00871C7A" w:rsidRPr="003C206F" w:rsidRDefault="00871C7A" w:rsidP="00764B23">
      <w:pPr>
        <w:rPr>
          <w:rFonts w:ascii="Roboto" w:hAnsi="Roboto" w:cs="Calibri"/>
          <w:b/>
          <w:color w:val="404040" w:themeColor="text1" w:themeTint="BF"/>
          <w:sz w:val="20"/>
          <w:szCs w:val="20"/>
          <w:lang w:val="en-GB"/>
        </w:rPr>
      </w:pPr>
    </w:p>
    <w:tbl>
      <w:tblPr>
        <w:tblStyle w:val="TableGrid"/>
        <w:tblW w:w="0" w:type="auto"/>
        <w:tblBorders>
          <w:top w:val="single" w:sz="24" w:space="0" w:color="FF3A21"/>
          <w:left w:val="single" w:sz="24" w:space="0" w:color="FF3A21"/>
          <w:bottom w:val="single" w:sz="24" w:space="0" w:color="FF3A21"/>
          <w:right w:val="single" w:sz="24" w:space="0" w:color="FF3A21"/>
          <w:insideH w:val="none" w:sz="0" w:space="0" w:color="auto"/>
          <w:insideV w:val="none" w:sz="0" w:space="0" w:color="auto"/>
        </w:tblBorders>
        <w:tblLook w:val="04A0" w:firstRow="1" w:lastRow="0" w:firstColumn="1" w:lastColumn="0" w:noHBand="0" w:noVBand="1"/>
      </w:tblPr>
      <w:tblGrid>
        <w:gridCol w:w="8960"/>
      </w:tblGrid>
      <w:tr w:rsidR="00871C7A" w:rsidRPr="008029E6" w14:paraId="759D66EC" w14:textId="77777777" w:rsidTr="00395D77">
        <w:tc>
          <w:tcPr>
            <w:tcW w:w="9010" w:type="dxa"/>
            <w:tcBorders>
              <w:top w:val="single" w:sz="24" w:space="0" w:color="FF3A21"/>
              <w:bottom w:val="single" w:sz="24" w:space="0" w:color="FF3A21"/>
            </w:tcBorders>
            <w:shd w:val="clear" w:color="auto" w:fill="FF3A21"/>
          </w:tcPr>
          <w:p w14:paraId="17E6E6EB" w14:textId="7AFC8218" w:rsidR="00871C7A" w:rsidRPr="008029E6" w:rsidRDefault="00871C7A" w:rsidP="00764B23">
            <w:pPr>
              <w:rPr>
                <w:rFonts w:ascii="Roboto" w:hAnsi="Roboto" w:cs="Calibri"/>
                <w:b/>
                <w:color w:val="FFFFFF" w:themeColor="background1"/>
                <w:sz w:val="21"/>
                <w:szCs w:val="21"/>
                <w:lang w:val="en-GB"/>
              </w:rPr>
            </w:pPr>
            <w:r w:rsidRPr="008029E6">
              <w:rPr>
                <w:rFonts w:ascii="Roboto" w:hAnsi="Roboto" w:cs="Calibri"/>
                <w:b/>
                <w:color w:val="FFFFFF" w:themeColor="background1"/>
                <w:sz w:val="21"/>
                <w:szCs w:val="21"/>
                <w:lang w:val="en-GB"/>
              </w:rPr>
              <w:t xml:space="preserve">Figure 2.2 Strategic Priority Area 2 – Planet </w:t>
            </w:r>
          </w:p>
          <w:p w14:paraId="309C4204" w14:textId="02E30463" w:rsidR="00871C7A" w:rsidRPr="008029E6" w:rsidRDefault="00871C7A" w:rsidP="00764B23">
            <w:pPr>
              <w:rPr>
                <w:rFonts w:ascii="Roboto" w:hAnsi="Roboto" w:cs="Calibri"/>
                <w:b/>
                <w:i/>
                <w:iCs/>
                <w:color w:val="FFFFFF" w:themeColor="background1"/>
                <w:sz w:val="21"/>
                <w:szCs w:val="21"/>
                <w:lang w:val="en-GB"/>
              </w:rPr>
            </w:pPr>
            <w:r w:rsidRPr="008029E6">
              <w:rPr>
                <w:rFonts w:ascii="Roboto" w:hAnsi="Roboto"/>
                <w:i/>
                <w:iCs/>
                <w:color w:val="FFFFFF" w:themeColor="background1"/>
                <w:sz w:val="21"/>
                <w:szCs w:val="21"/>
                <w:lang w:val="en-GB"/>
              </w:rPr>
              <w:t>4 of 25 SDG/SDR indicators on track</w:t>
            </w:r>
          </w:p>
        </w:tc>
      </w:tr>
      <w:tr w:rsidR="00871C7A" w:rsidRPr="003C206F" w14:paraId="3BB2785A" w14:textId="77777777" w:rsidTr="00395D77">
        <w:tc>
          <w:tcPr>
            <w:tcW w:w="9010" w:type="dxa"/>
            <w:tcBorders>
              <w:top w:val="single" w:sz="24" w:space="0" w:color="FF3A21"/>
              <w:bottom w:val="nil"/>
            </w:tcBorders>
            <w:shd w:val="clear" w:color="auto" w:fill="auto"/>
          </w:tcPr>
          <w:p w14:paraId="55A0965B" w14:textId="76ECD4BF" w:rsidR="00871C7A" w:rsidRPr="003C206F" w:rsidRDefault="00871C7A" w:rsidP="00D01CC3">
            <w:pPr>
              <w:pStyle w:val="NormalWeb"/>
              <w:spacing w:before="120" w:beforeAutospacing="0" w:after="0" w:afterAutospacing="0"/>
              <w:jc w:val="center"/>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SDG 12: Ensure Sustainable Consumption and Production Patterns</w:t>
            </w:r>
          </w:p>
          <w:p w14:paraId="0CB50BD6" w14:textId="77777777" w:rsidR="00871C7A" w:rsidRPr="003C206F" w:rsidRDefault="00871C7A" w:rsidP="00D01CC3">
            <w:pPr>
              <w:pStyle w:val="NormalWeb"/>
              <w:spacing w:before="0" w:beforeAutospacing="0" w:after="0" w:afterAutospacing="0"/>
              <w:jc w:val="center"/>
              <w:rPr>
                <w:rFonts w:ascii="Roboto" w:hAnsi="Roboto"/>
                <w:iCs/>
                <w:color w:val="404040" w:themeColor="text1" w:themeTint="BF"/>
                <w:sz w:val="16"/>
                <w:szCs w:val="16"/>
                <w:lang w:val="en-GB"/>
              </w:rPr>
            </w:pPr>
            <w:r w:rsidRPr="003C206F">
              <w:rPr>
                <w:rFonts w:ascii="Roboto" w:hAnsi="Roboto" w:cs="Calibri"/>
                <w:iCs/>
                <w:color w:val="404040" w:themeColor="text1" w:themeTint="BF"/>
                <w:sz w:val="16"/>
                <w:szCs w:val="16"/>
                <w:lang w:val="en-GB"/>
              </w:rPr>
              <w:t>Most Vulnerable Groups: no direct links from human rights</w:t>
            </w:r>
          </w:p>
          <w:p w14:paraId="72EE5151" w14:textId="1893BE00" w:rsidR="00871C7A" w:rsidRPr="003C206F" w:rsidRDefault="00871C7A" w:rsidP="00D01CC3">
            <w:pPr>
              <w:spacing w:after="120"/>
              <w:jc w:val="center"/>
              <w:rPr>
                <w:rFonts w:ascii="Roboto" w:hAnsi="Roboto" w:cs="Calibri"/>
                <w:b/>
                <w:color w:val="404040" w:themeColor="text1" w:themeTint="BF"/>
                <w:sz w:val="18"/>
                <w:szCs w:val="18"/>
                <w:lang w:val="en-GB"/>
              </w:rPr>
            </w:pPr>
            <w:r w:rsidRPr="003C206F">
              <w:rPr>
                <w:rFonts w:ascii="Roboto" w:hAnsi="Roboto" w:cs="Calibri"/>
                <w:color w:val="404040" w:themeColor="text1" w:themeTint="BF"/>
                <w:sz w:val="18"/>
                <w:szCs w:val="18"/>
                <w:lang w:val="en-GB"/>
              </w:rPr>
              <w:t>Due to a lack of available data, the forecast for the KSA cannot be estimated.</w:t>
            </w:r>
          </w:p>
        </w:tc>
      </w:tr>
      <w:tr w:rsidR="00871C7A" w:rsidRPr="003C206F" w14:paraId="481BE8DF" w14:textId="77777777" w:rsidTr="00395D77">
        <w:tc>
          <w:tcPr>
            <w:tcW w:w="9010" w:type="dxa"/>
            <w:tcBorders>
              <w:top w:val="nil"/>
            </w:tcBorders>
          </w:tcPr>
          <w:p w14:paraId="5768D607" w14:textId="77777777" w:rsidR="00871C7A" w:rsidRDefault="00871C7A" w:rsidP="00764B23">
            <w:pPr>
              <w:rPr>
                <w:rFonts w:ascii="Roboto" w:hAnsi="Roboto" w:cs="Calibri"/>
                <w:b/>
                <w:color w:val="404040" w:themeColor="text1" w:themeTint="BF"/>
                <w:sz w:val="20"/>
                <w:szCs w:val="20"/>
                <w:lang w:val="en-GB"/>
              </w:rPr>
            </w:pPr>
            <w:r w:rsidRPr="003C206F">
              <w:rPr>
                <w:rFonts w:ascii="Roboto" w:hAnsi="Roboto"/>
                <w:b/>
                <w:bCs/>
                <w:noProof/>
                <w:color w:val="404040" w:themeColor="text1" w:themeTint="BF"/>
                <w:lang w:val="en-GB"/>
              </w:rPr>
              <w:drawing>
                <wp:inline distT="0" distB="0" distL="0" distR="0" wp14:anchorId="37869E6D" wp14:editId="38B26F30">
                  <wp:extent cx="2743200" cy="2743200"/>
                  <wp:effectExtent l="0" t="0" r="0" b="0"/>
                  <wp:docPr id="520" name="Chart 520">
                    <a:extLst xmlns:a="http://schemas.openxmlformats.org/drawingml/2006/main">
                      <a:ext uri="{FF2B5EF4-FFF2-40B4-BE49-F238E27FC236}">
                        <a16:creationId xmlns:a16="http://schemas.microsoft.com/office/drawing/2014/main" id="{E7CB9EA2-465A-4A0B-8763-242D3BA30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3C206F">
              <w:rPr>
                <w:rFonts w:ascii="Roboto" w:hAnsi="Roboto"/>
                <w:b/>
                <w:bCs/>
                <w:noProof/>
                <w:color w:val="404040" w:themeColor="text1" w:themeTint="BF"/>
                <w:lang w:val="en-GB"/>
              </w:rPr>
              <w:drawing>
                <wp:inline distT="0" distB="0" distL="0" distR="0" wp14:anchorId="27D2F24F" wp14:editId="30605F40">
                  <wp:extent cx="2743200" cy="2743200"/>
                  <wp:effectExtent l="0" t="0" r="0" b="0"/>
                  <wp:docPr id="521" name="Chart 521">
                    <a:extLst xmlns:a="http://schemas.openxmlformats.org/drawingml/2006/main">
                      <a:ext uri="{FF2B5EF4-FFF2-40B4-BE49-F238E27FC236}">
                        <a16:creationId xmlns:a16="http://schemas.microsoft.com/office/drawing/2014/main" id="{CDCA3AC6-1D8F-4F65-B167-2E35AFE41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3C206F">
              <w:rPr>
                <w:rFonts w:ascii="Roboto" w:hAnsi="Roboto"/>
                <w:b/>
                <w:bCs/>
                <w:noProof/>
                <w:color w:val="404040" w:themeColor="text1" w:themeTint="BF"/>
                <w:lang w:val="en-GB"/>
              </w:rPr>
              <w:drawing>
                <wp:inline distT="0" distB="0" distL="0" distR="0" wp14:anchorId="297594FC" wp14:editId="7C32F9C8">
                  <wp:extent cx="2743200" cy="2743200"/>
                  <wp:effectExtent l="0" t="0" r="0" b="0"/>
                  <wp:docPr id="522" name="Chart 522">
                    <a:extLst xmlns:a="http://schemas.openxmlformats.org/drawingml/2006/main">
                      <a:ext uri="{FF2B5EF4-FFF2-40B4-BE49-F238E27FC236}">
                        <a16:creationId xmlns:a16="http://schemas.microsoft.com/office/drawing/2014/main" id="{7CCC5D2A-2B37-47ED-961F-E1CD7FAE9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3C206F">
              <w:rPr>
                <w:rFonts w:ascii="Roboto" w:hAnsi="Roboto"/>
                <w:b/>
                <w:bCs/>
                <w:noProof/>
                <w:color w:val="404040" w:themeColor="text1" w:themeTint="BF"/>
                <w:lang w:val="en-GB"/>
              </w:rPr>
              <w:drawing>
                <wp:inline distT="0" distB="0" distL="0" distR="0" wp14:anchorId="42D2D925" wp14:editId="4AA55E33">
                  <wp:extent cx="2743200" cy="2743200"/>
                  <wp:effectExtent l="0" t="0" r="0" b="0"/>
                  <wp:docPr id="523" name="Chart 523">
                    <a:extLst xmlns:a="http://schemas.openxmlformats.org/drawingml/2006/main">
                      <a:ext uri="{FF2B5EF4-FFF2-40B4-BE49-F238E27FC236}">
                        <a16:creationId xmlns:a16="http://schemas.microsoft.com/office/drawing/2014/main" id="{FD08750D-85A0-4AD5-B946-5109D4A85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7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tblGrid>
            <w:tr w:rsidR="00871C7A" w:rsidRPr="006560F8" w14:paraId="2BB89132" w14:textId="77777777" w:rsidTr="00666807">
              <w:trPr>
                <w:jc w:val="center"/>
              </w:trPr>
              <w:tc>
                <w:tcPr>
                  <w:tcW w:w="1899" w:type="dxa"/>
                  <w:vAlign w:val="center"/>
                </w:tcPr>
                <w:p w14:paraId="6BE7B431"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55814E02" wp14:editId="5C9A8555">
                        <wp:extent cx="822960" cy="89037"/>
                        <wp:effectExtent l="0" t="0" r="2540" b="0"/>
                        <wp:docPr id="530" name="Picture 5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Icon&#10;&#10;Description automatically generated"/>
                                <pic:cNvPicPr/>
                              </pic:nvPicPr>
                              <pic:blipFill rotWithShape="1">
                                <a:blip r:embed="rId38" cstate="print">
                                  <a:extLst>
                                    <a:ext uri="{28A0092B-C50C-407E-A947-70E740481C1C}">
                                      <a14:useLocalDpi xmlns:a14="http://schemas.microsoft.com/office/drawing/2010/main" val="0"/>
                                    </a:ext>
                                  </a:extLst>
                                </a:blip>
                                <a:srcRect t="28494" b="33124"/>
                                <a:stretch/>
                              </pic:blipFill>
                              <pic:spPr bwMode="auto">
                                <a:xfrm>
                                  <a:off x="0" y="0"/>
                                  <a:ext cx="822960" cy="89037"/>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2F899FD" w14:textId="1BB34740" w:rsidR="00871C7A" w:rsidRPr="00CE6837" w:rsidRDefault="00871C7A" w:rsidP="00666807">
                  <w:pPr>
                    <w:rPr>
                      <w:rFonts w:ascii="Roboto" w:hAnsi="Roboto" w:cs="Calibri"/>
                      <w:color w:val="404040" w:themeColor="text1" w:themeTint="BF"/>
                      <w:sz w:val="14"/>
                      <w:szCs w:val="14"/>
                      <w:lang w:val="en-GB"/>
                    </w:rPr>
                  </w:pP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w:t>
                  </w:r>
                  <w:r>
                    <w:rPr>
                      <w:rFonts w:ascii="Roboto" w:hAnsi="Roboto" w:cs="Calibri"/>
                      <w:b/>
                      <w:color w:val="404040" w:themeColor="text1" w:themeTint="BF"/>
                      <w:sz w:val="14"/>
                      <w:szCs w:val="14"/>
                      <w:lang w:val="en-GB"/>
                    </w:rPr>
                    <w:t xml:space="preserve">’s </w:t>
                  </w:r>
                  <w:r w:rsidRPr="00736315">
                    <w:rPr>
                      <w:rFonts w:ascii="Roboto" w:hAnsi="Roboto" w:cs="Calibri"/>
                      <w:b/>
                      <w:color w:val="404040" w:themeColor="text1" w:themeTint="BF"/>
                      <w:sz w:val="14"/>
                      <w:szCs w:val="14"/>
                      <w:lang w:val="en-GB"/>
                    </w:rPr>
                    <w:t>historical SDG trend</w:t>
                  </w:r>
                </w:p>
              </w:tc>
              <w:tc>
                <w:tcPr>
                  <w:tcW w:w="1899" w:type="dxa"/>
                  <w:vAlign w:val="center"/>
                </w:tcPr>
                <w:p w14:paraId="06383ED4"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2EF9E938" wp14:editId="4474CCEE">
                        <wp:extent cx="877824" cy="92331"/>
                        <wp:effectExtent l="0" t="0" r="0" b="0"/>
                        <wp:docPr id="531" name="Picture 53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t="26831" b="31697"/>
                                <a:stretch/>
                              </pic:blipFill>
                              <pic:spPr bwMode="auto">
                                <a:xfrm>
                                  <a:off x="0" y="0"/>
                                  <a:ext cx="877824" cy="92331"/>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6CEFC2B" w14:textId="77777777" w:rsidR="00871C7A"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top-performing countries’ average SDG trend</w:t>
                  </w:r>
                </w:p>
                <w:p w14:paraId="3DACDD74" w14:textId="77777777" w:rsidR="00871C7A" w:rsidRPr="00736315" w:rsidRDefault="00871C7A" w:rsidP="00666807">
                  <w:pPr>
                    <w:rPr>
                      <w:rFonts w:ascii="Roboto" w:hAnsi="Roboto" w:cs="Calibri"/>
                      <w:b/>
                      <w:color w:val="404040" w:themeColor="text1" w:themeTint="BF"/>
                      <w:sz w:val="14"/>
                      <w:szCs w:val="14"/>
                      <w:lang w:val="en-GB"/>
                    </w:rPr>
                  </w:pPr>
                </w:p>
              </w:tc>
            </w:tr>
            <w:tr w:rsidR="00871C7A" w:rsidRPr="006560F8" w14:paraId="0F8DFF21" w14:textId="77777777" w:rsidTr="00666807">
              <w:trPr>
                <w:jc w:val="center"/>
              </w:trPr>
              <w:tc>
                <w:tcPr>
                  <w:tcW w:w="1899" w:type="dxa"/>
                  <w:vAlign w:val="center"/>
                </w:tcPr>
                <w:p w14:paraId="62A6EDC6"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4FE69A28" wp14:editId="5CB4C63F">
                        <wp:extent cx="868680" cy="96669"/>
                        <wp:effectExtent l="0" t="0" r="0" b="5080"/>
                        <wp:docPr id="532" name="Picture 532" descr="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 application, chat or text message, icon&#10;&#10;Description automatically generated"/>
                                <pic:cNvPicPr/>
                              </pic:nvPicPr>
                              <pic:blipFill rotWithShape="1">
                                <a:blip r:embed="rId40" cstate="print">
                                  <a:extLst>
                                    <a:ext uri="{28A0092B-C50C-407E-A947-70E740481C1C}">
                                      <a14:useLocalDpi xmlns:a14="http://schemas.microsoft.com/office/drawing/2010/main" val="0"/>
                                    </a:ext>
                                  </a:extLst>
                                </a:blip>
                                <a:srcRect t="26046" b="33613"/>
                                <a:stretch/>
                              </pic:blipFill>
                              <pic:spPr bwMode="auto">
                                <a:xfrm flipV="1">
                                  <a:off x="0" y="0"/>
                                  <a:ext cx="868680" cy="96669"/>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8FCB120"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 xml:space="preserve">Continuation of </w:t>
                  </w: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KSA’s historical SDG trend</w:t>
                  </w:r>
                </w:p>
              </w:tc>
              <w:tc>
                <w:tcPr>
                  <w:tcW w:w="1899" w:type="dxa"/>
                  <w:vAlign w:val="center"/>
                </w:tcPr>
                <w:p w14:paraId="5123FD8D"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1E26574D" wp14:editId="3FEFD47A">
                        <wp:extent cx="872546" cy="98047"/>
                        <wp:effectExtent l="0" t="0" r="3810" b="3810"/>
                        <wp:docPr id="533" name="Picture 533"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chat or text message, icon&#10;&#10;Description automatically generated"/>
                                <pic:cNvPicPr/>
                              </pic:nvPicPr>
                              <pic:blipFill rotWithShape="1">
                                <a:blip r:embed="rId41" cstate="print">
                                  <a:extLst>
                                    <a:ext uri="{28A0092B-C50C-407E-A947-70E740481C1C}">
                                      <a14:useLocalDpi xmlns:a14="http://schemas.microsoft.com/office/drawing/2010/main" val="0"/>
                                    </a:ext>
                                  </a:extLst>
                                </a:blip>
                                <a:srcRect t="28584" r="3785" b="35713"/>
                                <a:stretch/>
                              </pic:blipFill>
                              <pic:spPr bwMode="auto">
                                <a:xfrm>
                                  <a:off x="0" y="0"/>
                                  <a:ext cx="881272" cy="99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6CC2FDC2"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bottom-performing countries’ average SDG trend</w:t>
                  </w:r>
                </w:p>
              </w:tc>
            </w:tr>
          </w:tbl>
          <w:p w14:paraId="02927840" w14:textId="575AF4A9" w:rsidR="00871C7A" w:rsidRPr="003C206F" w:rsidRDefault="00871C7A" w:rsidP="00764B23">
            <w:pPr>
              <w:rPr>
                <w:rFonts w:ascii="Roboto" w:hAnsi="Roboto" w:cs="Calibri"/>
                <w:b/>
                <w:bCs/>
                <w:color w:val="404040" w:themeColor="text1" w:themeTint="BF"/>
                <w:sz w:val="20"/>
                <w:szCs w:val="20"/>
                <w:lang w:val="en-GB"/>
              </w:rPr>
            </w:pPr>
          </w:p>
        </w:tc>
      </w:tr>
    </w:tbl>
    <w:p w14:paraId="0F8FCA5E" w14:textId="77777777" w:rsidR="00871C7A" w:rsidRPr="003C206F" w:rsidRDefault="00871C7A" w:rsidP="00764B23">
      <w:pPr>
        <w:rPr>
          <w:rFonts w:ascii="Roboto" w:hAnsi="Roboto" w:cs="Calibri"/>
          <w:b/>
          <w:bCs/>
          <w:color w:val="404040" w:themeColor="text1" w:themeTint="BF"/>
          <w:sz w:val="20"/>
          <w:szCs w:val="20"/>
          <w:lang w:val="en-GB"/>
        </w:rPr>
      </w:pPr>
    </w:p>
    <w:p w14:paraId="34AB0D46" w14:textId="77777777" w:rsidR="00C0278E" w:rsidRDefault="00082BE4" w:rsidP="00082BE4">
      <w:pPr>
        <w:pStyle w:val="NormalWeb"/>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Relative SDG performance based on similar countries</w:t>
      </w:r>
      <w:r w:rsidRPr="003C206F">
        <w:rPr>
          <w:rFonts w:ascii="Roboto" w:hAnsi="Roboto" w:cs="Calibri"/>
          <w:color w:val="404040" w:themeColor="text1" w:themeTint="BF"/>
          <w:sz w:val="21"/>
          <w:szCs w:val="21"/>
          <w:lang w:val="en-GB"/>
        </w:rPr>
        <w:t xml:space="preserve">: </w:t>
      </w:r>
    </w:p>
    <w:p w14:paraId="40F7A885" w14:textId="6F10B485" w:rsidR="00C0278E" w:rsidRPr="00C0278E" w:rsidRDefault="00C0278E" w:rsidP="00C0278E">
      <w:pPr>
        <w:pStyle w:val="NormalWeb"/>
        <w:numPr>
          <w:ilvl w:val="0"/>
          <w:numId w:val="32"/>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6, the KSA has upward potential as compared to its five most similar and </w:t>
      </w:r>
      <w:proofErr w:type="gramStart"/>
      <w:r w:rsidR="00082BE4" w:rsidRPr="003C206F">
        <w:rPr>
          <w:rFonts w:ascii="Roboto" w:hAnsi="Roboto" w:cs="Calibri"/>
          <w:color w:val="404040" w:themeColor="text1" w:themeTint="BF"/>
          <w:sz w:val="21"/>
          <w:szCs w:val="21"/>
          <w:lang w:val="en-GB"/>
        </w:rPr>
        <w:t>best-performing</w:t>
      </w:r>
      <w:proofErr w:type="gramEnd"/>
      <w:r w:rsidR="00082BE4" w:rsidRPr="003C206F">
        <w:rPr>
          <w:rFonts w:ascii="Roboto" w:hAnsi="Roboto" w:cs="Calibri"/>
          <w:color w:val="404040" w:themeColor="text1" w:themeTint="BF"/>
          <w:sz w:val="21"/>
          <w:szCs w:val="21"/>
          <w:lang w:val="en-GB"/>
        </w:rPr>
        <w:t xml:space="preserve"> countries; </w:t>
      </w:r>
    </w:p>
    <w:p w14:paraId="129C35EF" w14:textId="6EEA4C99" w:rsidR="00C0278E" w:rsidRPr="00C0278E" w:rsidRDefault="00C0278E" w:rsidP="00C0278E">
      <w:pPr>
        <w:pStyle w:val="NormalWeb"/>
        <w:numPr>
          <w:ilvl w:val="0"/>
          <w:numId w:val="32"/>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or SDG 12</w:t>
      </w:r>
      <w:r w:rsidR="00082BE4">
        <w:rPr>
          <w:rFonts w:ascii="Roboto" w:hAnsi="Roboto" w:cs="Calibri"/>
          <w:color w:val="404040" w:themeColor="text1" w:themeTint="BF"/>
          <w:sz w:val="21"/>
          <w:szCs w:val="21"/>
          <w:lang w:val="en-GB"/>
        </w:rPr>
        <w:t>,</w:t>
      </w:r>
      <w:r w:rsidR="00082BE4" w:rsidRPr="003C206F">
        <w:rPr>
          <w:rFonts w:ascii="Roboto" w:hAnsi="Roboto" w:cs="Calibri"/>
          <w:color w:val="404040" w:themeColor="text1" w:themeTint="BF"/>
          <w:sz w:val="21"/>
          <w:szCs w:val="21"/>
          <w:lang w:val="en-GB"/>
        </w:rPr>
        <w:t xml:space="preserve"> </w:t>
      </w:r>
      <w:r w:rsidR="00082BE4" w:rsidRPr="003C206F">
        <w:rPr>
          <w:rFonts w:ascii="Roboto" w:hAnsi="Roboto"/>
          <w:color w:val="404040" w:themeColor="text1" w:themeTint="BF"/>
          <w:sz w:val="21"/>
          <w:szCs w:val="21"/>
          <w:lang w:val="en-GB"/>
        </w:rPr>
        <w:t xml:space="preserve">the KSA’s performance </w:t>
      </w:r>
      <w:r w:rsidR="00082BE4" w:rsidRPr="003C206F">
        <w:rPr>
          <w:rFonts w:ascii="Roboto" w:hAnsi="Roboto" w:cs="Calibri"/>
          <w:color w:val="404040" w:themeColor="text1" w:themeTint="BF"/>
          <w:sz w:val="21"/>
          <w:szCs w:val="21"/>
          <w:lang w:val="en-GB"/>
        </w:rPr>
        <w:t xml:space="preserve">is indeterminate due to </w:t>
      </w:r>
      <w:r w:rsidR="00082BE4">
        <w:rPr>
          <w:rFonts w:ascii="Roboto" w:hAnsi="Roboto" w:cs="Calibri"/>
          <w:color w:val="404040" w:themeColor="text1" w:themeTint="BF"/>
          <w:sz w:val="21"/>
          <w:szCs w:val="21"/>
          <w:lang w:val="en-GB"/>
        </w:rPr>
        <w:t xml:space="preserve">a </w:t>
      </w:r>
      <w:r w:rsidR="00082BE4" w:rsidRPr="003C206F">
        <w:rPr>
          <w:rFonts w:ascii="Roboto" w:hAnsi="Roboto" w:cs="Calibri"/>
          <w:color w:val="404040" w:themeColor="text1" w:themeTint="BF"/>
          <w:sz w:val="21"/>
          <w:szCs w:val="21"/>
          <w:lang w:val="en-GB"/>
        </w:rPr>
        <w:t xml:space="preserve">lack of data </w:t>
      </w:r>
      <w:proofErr w:type="gramStart"/>
      <w:r w:rsidR="00082BE4" w:rsidRPr="003C206F">
        <w:rPr>
          <w:rFonts w:ascii="Roboto" w:hAnsi="Roboto" w:cs="Calibri"/>
          <w:color w:val="404040" w:themeColor="text1" w:themeTint="BF"/>
          <w:sz w:val="21"/>
          <w:szCs w:val="21"/>
          <w:lang w:val="en-GB"/>
        </w:rPr>
        <w:t>availability;</w:t>
      </w:r>
      <w:proofErr w:type="gramEnd"/>
      <w:r w:rsidR="00082BE4" w:rsidRPr="003C206F">
        <w:rPr>
          <w:rFonts w:ascii="Roboto" w:hAnsi="Roboto" w:cs="Calibri"/>
          <w:color w:val="404040" w:themeColor="text1" w:themeTint="BF"/>
          <w:sz w:val="21"/>
          <w:szCs w:val="21"/>
          <w:lang w:val="en-GB"/>
        </w:rPr>
        <w:t xml:space="preserve"> </w:t>
      </w:r>
    </w:p>
    <w:p w14:paraId="393D5F61" w14:textId="2D897435" w:rsidR="00C0278E" w:rsidRPr="00C0278E" w:rsidRDefault="00C0278E" w:rsidP="00C0278E">
      <w:pPr>
        <w:pStyle w:val="NormalWeb"/>
        <w:numPr>
          <w:ilvl w:val="0"/>
          <w:numId w:val="32"/>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lastRenderedPageBreak/>
        <w:t>F</w:t>
      </w:r>
      <w:r w:rsidR="00082BE4" w:rsidRPr="003C206F">
        <w:rPr>
          <w:rFonts w:ascii="Roboto" w:hAnsi="Roboto" w:cs="Calibri"/>
          <w:color w:val="404040" w:themeColor="text1" w:themeTint="BF"/>
          <w:sz w:val="21"/>
          <w:szCs w:val="21"/>
          <w:lang w:val="en-GB"/>
        </w:rPr>
        <w:t xml:space="preserve">or SDG 13, the KSA is almost outperforming its five most similar and </w:t>
      </w:r>
      <w:proofErr w:type="gramStart"/>
      <w:r w:rsidR="00082BE4" w:rsidRPr="003C206F">
        <w:rPr>
          <w:rFonts w:ascii="Roboto" w:hAnsi="Roboto" w:cs="Calibri"/>
          <w:color w:val="404040" w:themeColor="text1" w:themeTint="BF"/>
          <w:sz w:val="21"/>
          <w:szCs w:val="21"/>
          <w:lang w:val="en-GB"/>
        </w:rPr>
        <w:t>best-performing</w:t>
      </w:r>
      <w:proofErr w:type="gramEnd"/>
      <w:r w:rsidR="00082BE4" w:rsidRPr="003C206F">
        <w:rPr>
          <w:rFonts w:ascii="Roboto" w:hAnsi="Roboto" w:cs="Calibri"/>
          <w:color w:val="404040" w:themeColor="text1" w:themeTint="BF"/>
          <w:sz w:val="21"/>
          <w:szCs w:val="21"/>
          <w:lang w:val="en-GB"/>
        </w:rPr>
        <w:t xml:space="preserve"> countries; </w:t>
      </w:r>
    </w:p>
    <w:p w14:paraId="3A61AB3E" w14:textId="4C4DE00D" w:rsidR="00C0278E" w:rsidRPr="00C0278E" w:rsidRDefault="00C0278E" w:rsidP="00C0278E">
      <w:pPr>
        <w:pStyle w:val="NormalWeb"/>
        <w:numPr>
          <w:ilvl w:val="0"/>
          <w:numId w:val="32"/>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14, the KSA has upward potential as compared to its five most similar and best-performing countries; and </w:t>
      </w:r>
    </w:p>
    <w:p w14:paraId="37DA6939" w14:textId="62992405" w:rsidR="00082BE4" w:rsidRPr="003C206F" w:rsidRDefault="00C0278E" w:rsidP="003F0EDB">
      <w:pPr>
        <w:pStyle w:val="NormalWeb"/>
        <w:numPr>
          <w:ilvl w:val="0"/>
          <w:numId w:val="32"/>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15, the KSA has upward potential as compared to its five most similar and best-performing countries. </w:t>
      </w:r>
    </w:p>
    <w:p w14:paraId="51038DF7" w14:textId="77777777" w:rsidR="00082BE4" w:rsidRPr="003C206F"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295521C8" w14:textId="77777777" w:rsidR="00C0278E"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r w:rsidRPr="003C206F">
        <w:rPr>
          <w:rFonts w:ascii="Roboto" w:hAnsi="Roboto"/>
          <w:color w:val="404040" w:themeColor="text1" w:themeTint="BF"/>
          <w:sz w:val="21"/>
          <w:szCs w:val="21"/>
          <w:u w:val="single"/>
          <w:lang w:val="en-GB"/>
        </w:rPr>
        <w:t>SDG/SDR indicators on track</w:t>
      </w:r>
      <w:r w:rsidRPr="003C206F">
        <w:rPr>
          <w:rFonts w:ascii="Roboto" w:hAnsi="Roboto"/>
          <w:color w:val="404040" w:themeColor="text1" w:themeTint="BF"/>
          <w:sz w:val="21"/>
          <w:szCs w:val="21"/>
          <w:lang w:val="en-GB"/>
        </w:rPr>
        <w:t xml:space="preserve">: </w:t>
      </w:r>
    </w:p>
    <w:p w14:paraId="20CB473D" w14:textId="2807B0BB" w:rsidR="00C0278E" w:rsidRPr="0093362E" w:rsidRDefault="00C0278E" w:rsidP="00C0278E">
      <w:pPr>
        <w:pStyle w:val="NormalWeb"/>
        <w:numPr>
          <w:ilvl w:val="0"/>
          <w:numId w:val="33"/>
        </w:numPr>
        <w:spacing w:before="0" w:beforeAutospacing="0" w:after="0" w:afterAutospacing="0"/>
        <w:jc w:val="both"/>
        <w:textAlignment w:val="baseline"/>
        <w:rPr>
          <w:rFonts w:ascii="Roboto" w:hAnsi="Roboto"/>
          <w:b/>
          <w:color w:val="404040" w:themeColor="text1" w:themeTint="BF"/>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6, two of five SDG/SDR indicators are on </w:t>
      </w:r>
      <w:proofErr w:type="gramStart"/>
      <w:r w:rsidR="00082BE4" w:rsidRPr="003C206F">
        <w:rPr>
          <w:rFonts w:ascii="Roboto" w:hAnsi="Roboto"/>
          <w:color w:val="404040" w:themeColor="text1" w:themeTint="BF"/>
          <w:sz w:val="21"/>
          <w:szCs w:val="21"/>
          <w:lang w:val="en-GB"/>
        </w:rPr>
        <w:t>track;</w:t>
      </w:r>
      <w:proofErr w:type="gramEnd"/>
      <w:r w:rsidR="00082BE4" w:rsidRPr="003C206F">
        <w:rPr>
          <w:rFonts w:ascii="Roboto" w:hAnsi="Roboto"/>
          <w:color w:val="404040" w:themeColor="text1" w:themeTint="BF"/>
          <w:sz w:val="21"/>
          <w:szCs w:val="21"/>
          <w:lang w:val="en-GB"/>
        </w:rPr>
        <w:t xml:space="preserve"> </w:t>
      </w:r>
    </w:p>
    <w:p w14:paraId="14665545" w14:textId="4A13B267" w:rsidR="00C0278E" w:rsidRPr="0093362E" w:rsidRDefault="00C0278E" w:rsidP="00C0278E">
      <w:pPr>
        <w:pStyle w:val="NormalWeb"/>
        <w:numPr>
          <w:ilvl w:val="0"/>
          <w:numId w:val="33"/>
        </w:numPr>
        <w:spacing w:before="0" w:beforeAutospacing="0" w:after="0" w:afterAutospacing="0"/>
        <w:jc w:val="both"/>
        <w:textAlignment w:val="baseline"/>
        <w:rPr>
          <w:rFonts w:ascii="Roboto" w:hAnsi="Roboto"/>
          <w:b/>
          <w:color w:val="404040" w:themeColor="text1" w:themeTint="BF"/>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12, the KSA’s performance is indeterminate </w:t>
      </w:r>
      <w:r w:rsidR="00082BE4" w:rsidRPr="003C206F">
        <w:rPr>
          <w:rFonts w:ascii="Roboto" w:hAnsi="Roboto" w:cs="Calibri"/>
          <w:color w:val="404040" w:themeColor="text1" w:themeTint="BF"/>
          <w:sz w:val="21"/>
          <w:szCs w:val="21"/>
          <w:lang w:val="en-GB"/>
        </w:rPr>
        <w:t>due to</w:t>
      </w:r>
      <w:r w:rsidR="00082BE4">
        <w:rPr>
          <w:rFonts w:ascii="Roboto" w:hAnsi="Roboto" w:cs="Calibri"/>
          <w:color w:val="404040" w:themeColor="text1" w:themeTint="BF"/>
          <w:sz w:val="21"/>
          <w:szCs w:val="21"/>
          <w:lang w:val="en-GB"/>
        </w:rPr>
        <w:t xml:space="preserve"> a</w:t>
      </w:r>
      <w:r w:rsidR="00082BE4" w:rsidRPr="003C206F">
        <w:rPr>
          <w:rFonts w:ascii="Roboto" w:hAnsi="Roboto" w:cs="Calibri"/>
          <w:color w:val="404040" w:themeColor="text1" w:themeTint="BF"/>
          <w:sz w:val="21"/>
          <w:szCs w:val="21"/>
          <w:lang w:val="en-GB"/>
        </w:rPr>
        <w:t xml:space="preserve"> lack of data </w:t>
      </w:r>
      <w:proofErr w:type="gramStart"/>
      <w:r w:rsidR="00082BE4" w:rsidRPr="003C206F">
        <w:rPr>
          <w:rFonts w:ascii="Roboto" w:hAnsi="Roboto" w:cs="Calibri"/>
          <w:color w:val="404040" w:themeColor="text1" w:themeTint="BF"/>
          <w:sz w:val="21"/>
          <w:szCs w:val="21"/>
          <w:lang w:val="en-GB"/>
        </w:rPr>
        <w:t>availability</w:t>
      </w:r>
      <w:r w:rsidR="00082BE4" w:rsidRPr="003C206F">
        <w:rPr>
          <w:rFonts w:ascii="Roboto" w:hAnsi="Roboto"/>
          <w:color w:val="404040" w:themeColor="text1" w:themeTint="BF"/>
          <w:sz w:val="21"/>
          <w:szCs w:val="21"/>
          <w:lang w:val="en-GB"/>
        </w:rPr>
        <w:t>;</w:t>
      </w:r>
      <w:proofErr w:type="gramEnd"/>
      <w:r w:rsidR="00082BE4" w:rsidRPr="003C206F">
        <w:rPr>
          <w:rFonts w:ascii="Roboto" w:hAnsi="Roboto"/>
          <w:color w:val="404040" w:themeColor="text1" w:themeTint="BF"/>
          <w:sz w:val="21"/>
          <w:szCs w:val="21"/>
          <w:lang w:val="en-GB"/>
        </w:rPr>
        <w:t xml:space="preserve"> </w:t>
      </w:r>
    </w:p>
    <w:p w14:paraId="6FB673CD" w14:textId="70AFE34B" w:rsidR="00C0278E" w:rsidRPr="0093362E" w:rsidRDefault="00C0278E" w:rsidP="00C0278E">
      <w:pPr>
        <w:pStyle w:val="NormalWeb"/>
        <w:numPr>
          <w:ilvl w:val="0"/>
          <w:numId w:val="33"/>
        </w:numPr>
        <w:spacing w:before="0" w:beforeAutospacing="0" w:after="0" w:afterAutospacing="0"/>
        <w:jc w:val="both"/>
        <w:textAlignment w:val="baseline"/>
        <w:rPr>
          <w:rFonts w:ascii="Roboto" w:hAnsi="Roboto"/>
          <w:b/>
          <w:color w:val="404040" w:themeColor="text1" w:themeTint="BF"/>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13, zero of three SDG/SDR indicators are on </w:t>
      </w:r>
      <w:proofErr w:type="gramStart"/>
      <w:r w:rsidR="00082BE4" w:rsidRPr="003C206F">
        <w:rPr>
          <w:rFonts w:ascii="Roboto" w:hAnsi="Roboto"/>
          <w:color w:val="404040" w:themeColor="text1" w:themeTint="BF"/>
          <w:sz w:val="21"/>
          <w:szCs w:val="21"/>
          <w:lang w:val="en-GB"/>
        </w:rPr>
        <w:t>track;</w:t>
      </w:r>
      <w:proofErr w:type="gramEnd"/>
      <w:r w:rsidR="00082BE4" w:rsidRPr="003C206F">
        <w:rPr>
          <w:rFonts w:ascii="Roboto" w:hAnsi="Roboto"/>
          <w:color w:val="404040" w:themeColor="text1" w:themeTint="BF"/>
          <w:sz w:val="21"/>
          <w:szCs w:val="21"/>
          <w:lang w:val="en-GB"/>
        </w:rPr>
        <w:t xml:space="preserve"> </w:t>
      </w:r>
    </w:p>
    <w:p w14:paraId="40E46C3D" w14:textId="3E3A2B0F" w:rsidR="00C0278E" w:rsidRPr="0093362E" w:rsidRDefault="00C0278E" w:rsidP="00C0278E">
      <w:pPr>
        <w:pStyle w:val="NormalWeb"/>
        <w:numPr>
          <w:ilvl w:val="0"/>
          <w:numId w:val="33"/>
        </w:numPr>
        <w:spacing w:before="0" w:beforeAutospacing="0" w:after="0" w:afterAutospacing="0"/>
        <w:jc w:val="both"/>
        <w:textAlignment w:val="baseline"/>
        <w:rPr>
          <w:rFonts w:ascii="Roboto" w:hAnsi="Roboto"/>
          <w:b/>
          <w:color w:val="404040" w:themeColor="text1" w:themeTint="BF"/>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14, one of six </w:t>
      </w:r>
      <w:r w:rsidR="00082BE4" w:rsidRPr="003C206F">
        <w:rPr>
          <w:rFonts w:ascii="Roboto" w:hAnsi="Roboto" w:cs="Calibri"/>
          <w:color w:val="404040" w:themeColor="text1" w:themeTint="BF"/>
          <w:sz w:val="21"/>
          <w:szCs w:val="21"/>
          <w:lang w:val="en-GB"/>
        </w:rPr>
        <w:t xml:space="preserve">SDG/SDR </w:t>
      </w:r>
      <w:r w:rsidR="00082BE4" w:rsidRPr="003C206F">
        <w:rPr>
          <w:rFonts w:ascii="Roboto" w:hAnsi="Roboto"/>
          <w:color w:val="404040" w:themeColor="text1" w:themeTint="BF"/>
          <w:sz w:val="21"/>
          <w:szCs w:val="21"/>
          <w:lang w:val="en-GB"/>
        </w:rPr>
        <w:t>indicators</w:t>
      </w:r>
      <w:r w:rsidR="00082BE4" w:rsidRPr="003C206F">
        <w:rPr>
          <w:rFonts w:ascii="Roboto" w:hAnsi="Roboto" w:cs="Calibri"/>
          <w:color w:val="404040" w:themeColor="text1" w:themeTint="BF"/>
          <w:sz w:val="21"/>
          <w:szCs w:val="21"/>
          <w:lang w:val="en-GB"/>
        </w:rPr>
        <w:t xml:space="preserve"> are on track</w:t>
      </w:r>
      <w:r w:rsidR="00082BE4" w:rsidRPr="003C206F">
        <w:rPr>
          <w:rFonts w:ascii="Roboto" w:hAnsi="Roboto"/>
          <w:color w:val="404040" w:themeColor="text1" w:themeTint="BF"/>
          <w:sz w:val="21"/>
          <w:szCs w:val="21"/>
          <w:lang w:val="en-GB"/>
        </w:rPr>
        <w:t xml:space="preserve">; and </w:t>
      </w:r>
    </w:p>
    <w:p w14:paraId="18429248" w14:textId="5892B092" w:rsidR="00871C7A" w:rsidRPr="003C206F" w:rsidRDefault="00C0278E" w:rsidP="003F0EDB">
      <w:pPr>
        <w:pStyle w:val="NormalWeb"/>
        <w:numPr>
          <w:ilvl w:val="0"/>
          <w:numId w:val="33"/>
        </w:numPr>
        <w:spacing w:before="0" w:beforeAutospacing="0" w:after="0" w:afterAutospacing="0"/>
        <w:jc w:val="both"/>
        <w:textAlignment w:val="baseline"/>
        <w:rPr>
          <w:rFonts w:ascii="Roboto" w:hAnsi="Roboto"/>
          <w:b/>
          <w:color w:val="404040" w:themeColor="text1" w:themeTint="BF"/>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or SDG 15, one of five SDG/SDR indicators is on track.</w:t>
      </w:r>
      <w:r w:rsidR="00871C7A" w:rsidRPr="003C206F">
        <w:rPr>
          <w:rFonts w:ascii="Roboto" w:hAnsi="Roboto"/>
          <w:color w:val="404040" w:themeColor="text1" w:themeTint="BF"/>
          <w:sz w:val="21"/>
          <w:szCs w:val="21"/>
          <w:lang w:val="en-GB"/>
        </w:rPr>
        <w:t xml:space="preserve"> </w:t>
      </w:r>
    </w:p>
    <w:p w14:paraId="00A68BB6" w14:textId="77777777" w:rsidR="00871C7A" w:rsidRDefault="00871C7A">
      <w:pPr>
        <w:rPr>
          <w:rFonts w:ascii="Roboto" w:hAnsi="Roboto" w:cs="Calibri"/>
          <w:color w:val="404040" w:themeColor="text1" w:themeTint="BF"/>
          <w:sz w:val="28"/>
          <w:szCs w:val="28"/>
          <w:lang w:val="en-GB"/>
        </w:rPr>
      </w:pPr>
      <w:r>
        <w:rPr>
          <w:rFonts w:ascii="Roboto" w:hAnsi="Roboto" w:cs="Calibri"/>
          <w:color w:val="404040" w:themeColor="text1" w:themeTint="BF"/>
          <w:sz w:val="28"/>
          <w:szCs w:val="28"/>
          <w:lang w:val="en-GB"/>
        </w:rPr>
        <w:br w:type="page"/>
      </w:r>
    </w:p>
    <w:tbl>
      <w:tblPr>
        <w:tblStyle w:val="TableGrid"/>
        <w:tblW w:w="0" w:type="auto"/>
        <w:tblBorders>
          <w:top w:val="none" w:sz="0" w:space="0" w:color="auto"/>
          <w:left w:val="single" w:sz="24" w:space="0" w:color="4C9F38"/>
          <w:bottom w:val="none" w:sz="0" w:space="0" w:color="auto"/>
          <w:right w:val="none" w:sz="0" w:space="0" w:color="auto"/>
          <w:insideH w:val="single" w:sz="24" w:space="0" w:color="4C9F38"/>
          <w:insideV w:val="none" w:sz="0" w:space="0" w:color="auto"/>
        </w:tblBorders>
        <w:tblLook w:val="04A0" w:firstRow="1" w:lastRow="0" w:firstColumn="1" w:lastColumn="0" w:noHBand="0" w:noVBand="1"/>
      </w:tblPr>
      <w:tblGrid>
        <w:gridCol w:w="469"/>
        <w:gridCol w:w="8521"/>
      </w:tblGrid>
      <w:tr w:rsidR="00871C7A" w:rsidRPr="003C206F" w14:paraId="631707E4" w14:textId="77777777" w:rsidTr="00FA39D0">
        <w:trPr>
          <w:trHeight w:val="878"/>
        </w:trPr>
        <w:tc>
          <w:tcPr>
            <w:tcW w:w="420" w:type="dxa"/>
            <w:shd w:val="clear" w:color="auto" w:fill="4C9F38"/>
            <w:vAlign w:val="center"/>
          </w:tcPr>
          <w:p w14:paraId="72AD57FA"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lastRenderedPageBreak/>
              <w:t>3</w:t>
            </w:r>
          </w:p>
        </w:tc>
        <w:tc>
          <w:tcPr>
            <w:tcW w:w="9260" w:type="dxa"/>
            <w:vAlign w:val="center"/>
          </w:tcPr>
          <w:p w14:paraId="7F14FC11" w14:textId="0E8CADE1" w:rsidR="00871C7A" w:rsidRPr="003C206F" w:rsidRDefault="00871C7A" w:rsidP="00FA39D0">
            <w:pPr>
              <w:pStyle w:val="NormalWeb"/>
              <w:spacing w:before="40" w:beforeAutospacing="0" w:after="40" w:afterAutospacing="0"/>
              <w:ind w:left="144" w:right="144"/>
              <w:rPr>
                <w:rFonts w:ascii="Roboto" w:hAnsi="Roboto" w:cs="Calibri"/>
                <w:color w:val="404040" w:themeColor="text1" w:themeTint="BF"/>
                <w:sz w:val="22"/>
                <w:szCs w:val="22"/>
                <w:lang w:val="en-GB"/>
              </w:rPr>
            </w:pPr>
            <w:r w:rsidRPr="003C206F">
              <w:rPr>
                <w:rFonts w:ascii="Roboto" w:hAnsi="Roboto" w:cs="Calibri"/>
                <w:b/>
                <w:color w:val="404040" w:themeColor="text1" w:themeTint="BF"/>
                <w:sz w:val="22"/>
                <w:szCs w:val="22"/>
                <w:lang w:val="en-GB"/>
              </w:rPr>
              <w:t xml:space="preserve">Strategic Priority Area 3: Prosperity — </w:t>
            </w:r>
            <w:r w:rsidR="00C978D4">
              <w:rPr>
                <w:rFonts w:ascii="Roboto" w:hAnsi="Roboto" w:cs="Calibri"/>
                <w:b/>
                <w:color w:val="404040" w:themeColor="text1" w:themeTint="BF"/>
                <w:sz w:val="22"/>
                <w:szCs w:val="22"/>
                <w:lang w:val="en-GB"/>
              </w:rPr>
              <w:t>E</w:t>
            </w:r>
            <w:r w:rsidRPr="003C206F">
              <w:rPr>
                <w:rFonts w:ascii="Roboto" w:hAnsi="Roboto" w:cs="Calibri"/>
                <w:b/>
                <w:color w:val="404040" w:themeColor="text1" w:themeTint="BF"/>
                <w:sz w:val="22"/>
                <w:szCs w:val="22"/>
                <w:lang w:val="en-GB"/>
              </w:rPr>
              <w:t>nsure that all human beings can enjoy prosperous and fulfilling lives (SDGs 7–11)</w:t>
            </w:r>
          </w:p>
        </w:tc>
      </w:tr>
    </w:tbl>
    <w:p w14:paraId="1F71D032" w14:textId="77777777" w:rsidR="00871C7A" w:rsidRPr="003C206F" w:rsidRDefault="00871C7A" w:rsidP="00764B23">
      <w:pPr>
        <w:rPr>
          <w:rFonts w:ascii="Roboto" w:hAnsi="Roboto" w:cs="Calibri"/>
          <w:b/>
          <w:bCs/>
          <w:color w:val="404040" w:themeColor="text1" w:themeTint="BF"/>
          <w:sz w:val="20"/>
          <w:szCs w:val="20"/>
          <w:lang w:val="en-GB"/>
        </w:rPr>
      </w:pPr>
    </w:p>
    <w:tbl>
      <w:tblPr>
        <w:tblStyle w:val="TableGrid"/>
        <w:tblW w:w="0" w:type="auto"/>
        <w:tblBorders>
          <w:top w:val="single" w:sz="24" w:space="0" w:color="4C9F38"/>
          <w:left w:val="single" w:sz="24" w:space="0" w:color="4C9F38"/>
          <w:bottom w:val="single" w:sz="24" w:space="0" w:color="4C9F38"/>
          <w:right w:val="single" w:sz="24" w:space="0" w:color="4C9F38"/>
          <w:insideH w:val="none" w:sz="0" w:space="0" w:color="auto"/>
          <w:insideV w:val="none" w:sz="0" w:space="0" w:color="auto"/>
        </w:tblBorders>
        <w:tblLook w:val="04A0" w:firstRow="1" w:lastRow="0" w:firstColumn="1" w:lastColumn="0" w:noHBand="0" w:noVBand="1"/>
      </w:tblPr>
      <w:tblGrid>
        <w:gridCol w:w="8960"/>
      </w:tblGrid>
      <w:tr w:rsidR="00871C7A" w:rsidRPr="008029E6" w14:paraId="0E929D75" w14:textId="77777777" w:rsidTr="0034335E">
        <w:tc>
          <w:tcPr>
            <w:tcW w:w="9010" w:type="dxa"/>
            <w:tcBorders>
              <w:top w:val="single" w:sz="24" w:space="0" w:color="4C9F38"/>
              <w:bottom w:val="single" w:sz="24" w:space="0" w:color="4C9F38"/>
            </w:tcBorders>
            <w:shd w:val="clear" w:color="auto" w:fill="4C9F38"/>
          </w:tcPr>
          <w:p w14:paraId="061B4A4A" w14:textId="611409C0" w:rsidR="00871C7A" w:rsidRPr="008029E6" w:rsidRDefault="00871C7A" w:rsidP="00764B23">
            <w:pPr>
              <w:rPr>
                <w:rFonts w:ascii="Roboto" w:hAnsi="Roboto"/>
                <w:b/>
                <w:bCs/>
                <w:color w:val="FFFFFF" w:themeColor="background1"/>
                <w:sz w:val="21"/>
                <w:szCs w:val="21"/>
                <w:lang w:val="en-GB"/>
              </w:rPr>
            </w:pPr>
            <w:r w:rsidRPr="008029E6">
              <w:rPr>
                <w:rFonts w:ascii="Roboto" w:hAnsi="Roboto"/>
                <w:b/>
                <w:bCs/>
                <w:color w:val="FFFFFF" w:themeColor="background1"/>
                <w:sz w:val="21"/>
                <w:szCs w:val="21"/>
                <w:lang w:val="en-GB"/>
              </w:rPr>
              <w:t xml:space="preserve">Figure 2.3 Strategic Priority Area 3 – Prosperity </w:t>
            </w:r>
          </w:p>
          <w:p w14:paraId="202034B4" w14:textId="5A2BFE7D" w:rsidR="00871C7A" w:rsidRPr="008029E6" w:rsidRDefault="00871C7A" w:rsidP="0034335E">
            <w:pPr>
              <w:pStyle w:val="KSASubHead1-Blue"/>
              <w:rPr>
                <w:rFonts w:ascii="Roboto" w:hAnsi="Roboto"/>
                <w:i/>
                <w:iCs/>
                <w:color w:val="FFFFFF" w:themeColor="background1"/>
                <w:sz w:val="21"/>
                <w:szCs w:val="21"/>
              </w:rPr>
            </w:pPr>
            <w:r w:rsidRPr="008029E6">
              <w:rPr>
                <w:rFonts w:ascii="Roboto" w:hAnsi="Roboto"/>
                <w:i/>
                <w:iCs/>
                <w:color w:val="FFFFFF" w:themeColor="background1"/>
                <w:sz w:val="21"/>
                <w:szCs w:val="21"/>
              </w:rPr>
              <w:t>9 of 21 SDG/SDR indicators on track</w:t>
            </w:r>
          </w:p>
        </w:tc>
      </w:tr>
      <w:tr w:rsidR="00871C7A" w:rsidRPr="003C206F" w14:paraId="39B74BF1" w14:textId="77777777" w:rsidTr="0034335E">
        <w:tc>
          <w:tcPr>
            <w:tcW w:w="9010" w:type="dxa"/>
            <w:tcBorders>
              <w:top w:val="single" w:sz="24" w:space="0" w:color="4C9F38"/>
              <w:bottom w:val="nil"/>
            </w:tcBorders>
            <w:shd w:val="clear" w:color="auto" w:fill="auto"/>
          </w:tcPr>
          <w:p w14:paraId="09D7B0A6" w14:textId="68CCEF34" w:rsidR="00871C7A" w:rsidRPr="003C206F" w:rsidRDefault="00871C7A" w:rsidP="0034335E">
            <w:pPr>
              <w:pStyle w:val="NormalWeb"/>
              <w:spacing w:before="120" w:beforeAutospacing="0" w:after="0" w:afterAutospacing="0"/>
              <w:jc w:val="center"/>
              <w:rPr>
                <w:rFonts w:ascii="Roboto" w:hAnsi="Roboto"/>
                <w:b/>
                <w:bCs/>
                <w:color w:val="404040" w:themeColor="text1" w:themeTint="BF"/>
                <w:sz w:val="19"/>
                <w:szCs w:val="19"/>
                <w:lang w:val="en-GB"/>
              </w:rPr>
            </w:pPr>
            <w:r w:rsidRPr="003C206F">
              <w:rPr>
                <w:rFonts w:ascii="Roboto" w:hAnsi="Roboto" w:cs="Calibri"/>
                <w:b/>
                <w:bCs/>
                <w:color w:val="404040" w:themeColor="text1" w:themeTint="BF"/>
                <w:sz w:val="19"/>
                <w:szCs w:val="19"/>
                <w:lang w:val="en-GB"/>
              </w:rPr>
              <w:t>SDG 10: Reduce Inequality Within and Among Countries</w:t>
            </w:r>
          </w:p>
          <w:p w14:paraId="32A08BCD" w14:textId="77777777" w:rsidR="00871C7A" w:rsidRPr="003C206F" w:rsidRDefault="00871C7A" w:rsidP="0034335E">
            <w:pPr>
              <w:pStyle w:val="NormalWeb"/>
              <w:spacing w:before="0" w:beforeAutospacing="0" w:after="0" w:afterAutospacing="0"/>
              <w:jc w:val="center"/>
              <w:rPr>
                <w:rFonts w:ascii="Roboto" w:hAnsi="Roboto" w:cs="Calibri"/>
                <w:iCs/>
                <w:color w:val="404040" w:themeColor="text1" w:themeTint="BF"/>
                <w:sz w:val="16"/>
                <w:szCs w:val="16"/>
                <w:lang w:val="en-GB"/>
              </w:rPr>
            </w:pPr>
            <w:r w:rsidRPr="003C206F">
              <w:rPr>
                <w:rFonts w:ascii="Roboto" w:hAnsi="Roboto" w:cs="Calibri"/>
                <w:iCs/>
                <w:color w:val="404040" w:themeColor="text1" w:themeTint="BF"/>
                <w:sz w:val="16"/>
                <w:szCs w:val="16"/>
                <w:lang w:val="en-GB"/>
              </w:rPr>
              <w:t>Most Vulnerable Groups: Women and Girls, Children, and Persons with Disabilities</w:t>
            </w:r>
          </w:p>
          <w:p w14:paraId="08FF0033" w14:textId="541FF37D" w:rsidR="00871C7A" w:rsidRPr="003C206F" w:rsidRDefault="00871C7A" w:rsidP="0034335E">
            <w:pPr>
              <w:spacing w:after="120"/>
              <w:jc w:val="center"/>
              <w:rPr>
                <w:rFonts w:ascii="Roboto" w:hAnsi="Roboto"/>
                <w:b/>
                <w:bCs/>
                <w:color w:val="404040" w:themeColor="text1" w:themeTint="BF"/>
                <w:sz w:val="18"/>
                <w:szCs w:val="18"/>
                <w:lang w:val="en-GB"/>
              </w:rPr>
            </w:pPr>
            <w:r w:rsidRPr="003C206F">
              <w:rPr>
                <w:rFonts w:ascii="Roboto" w:hAnsi="Roboto" w:cs="Calibri"/>
                <w:color w:val="404040" w:themeColor="text1" w:themeTint="BF"/>
                <w:sz w:val="18"/>
                <w:szCs w:val="18"/>
                <w:lang w:val="en-GB"/>
              </w:rPr>
              <w:t>Due to a lack of available data, the forecast for the KSA cannot be estimated.</w:t>
            </w:r>
          </w:p>
        </w:tc>
      </w:tr>
      <w:tr w:rsidR="00871C7A" w:rsidRPr="003C206F" w14:paraId="64851C0B" w14:textId="77777777" w:rsidTr="0034335E">
        <w:tc>
          <w:tcPr>
            <w:tcW w:w="9010" w:type="dxa"/>
            <w:tcBorders>
              <w:top w:val="nil"/>
            </w:tcBorders>
          </w:tcPr>
          <w:p w14:paraId="0559F16F" w14:textId="77777777" w:rsidR="00871C7A" w:rsidRDefault="00871C7A" w:rsidP="00764B23">
            <w:pPr>
              <w:rPr>
                <w:rFonts w:ascii="Roboto" w:hAnsi="Roboto" w:cs="Calibri"/>
                <w:b/>
                <w:color w:val="404040" w:themeColor="text1" w:themeTint="BF"/>
                <w:sz w:val="20"/>
                <w:szCs w:val="20"/>
                <w:lang w:val="en-GB"/>
              </w:rPr>
            </w:pPr>
            <w:r w:rsidRPr="003C206F">
              <w:rPr>
                <w:rFonts w:ascii="Roboto" w:hAnsi="Roboto"/>
                <w:b/>
                <w:bCs/>
                <w:noProof/>
                <w:color w:val="404040" w:themeColor="text1" w:themeTint="BF"/>
                <w:lang w:val="en-GB"/>
              </w:rPr>
              <w:drawing>
                <wp:inline distT="0" distB="0" distL="0" distR="0" wp14:anchorId="2E1DAF89" wp14:editId="451B9DC6">
                  <wp:extent cx="2743200" cy="2743200"/>
                  <wp:effectExtent l="0" t="0" r="0" b="0"/>
                  <wp:docPr id="524" name="Chart 524">
                    <a:extLst xmlns:a="http://schemas.openxmlformats.org/drawingml/2006/main">
                      <a:ext uri="{FF2B5EF4-FFF2-40B4-BE49-F238E27FC236}">
                        <a16:creationId xmlns:a16="http://schemas.microsoft.com/office/drawing/2014/main" id="{288E1C3C-3282-4AA6-96B4-752C23EAC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C206F">
              <w:rPr>
                <w:rFonts w:ascii="Roboto" w:hAnsi="Roboto"/>
                <w:b/>
                <w:bCs/>
                <w:noProof/>
                <w:color w:val="404040" w:themeColor="text1" w:themeTint="BF"/>
                <w:lang w:val="en-GB"/>
              </w:rPr>
              <w:drawing>
                <wp:inline distT="0" distB="0" distL="0" distR="0" wp14:anchorId="172C8463" wp14:editId="4F808733">
                  <wp:extent cx="2743200" cy="2743200"/>
                  <wp:effectExtent l="0" t="0" r="0" b="0"/>
                  <wp:docPr id="525" name="Chart 525">
                    <a:extLst xmlns:a="http://schemas.openxmlformats.org/drawingml/2006/main">
                      <a:ext uri="{FF2B5EF4-FFF2-40B4-BE49-F238E27FC236}">
                        <a16:creationId xmlns:a16="http://schemas.microsoft.com/office/drawing/2014/main" id="{2C872DD0-B507-4827-B51A-FCE28DE1E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3C206F">
              <w:rPr>
                <w:rFonts w:ascii="Roboto" w:hAnsi="Roboto"/>
                <w:b/>
                <w:bCs/>
                <w:noProof/>
                <w:color w:val="404040" w:themeColor="text1" w:themeTint="BF"/>
                <w:lang w:val="en-GB"/>
              </w:rPr>
              <w:drawing>
                <wp:inline distT="0" distB="0" distL="0" distR="0" wp14:anchorId="172F5A77" wp14:editId="10CF9A4E">
                  <wp:extent cx="2743200" cy="2743200"/>
                  <wp:effectExtent l="0" t="0" r="0" b="0"/>
                  <wp:docPr id="539" name="Chart 539">
                    <a:extLst xmlns:a="http://schemas.openxmlformats.org/drawingml/2006/main">
                      <a:ext uri="{FF2B5EF4-FFF2-40B4-BE49-F238E27FC236}">
                        <a16:creationId xmlns:a16="http://schemas.microsoft.com/office/drawing/2014/main" id="{26FD3F9D-ADC9-40A0-B702-D8721792C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C206F">
              <w:rPr>
                <w:rFonts w:ascii="Roboto" w:hAnsi="Roboto"/>
                <w:b/>
                <w:bCs/>
                <w:noProof/>
                <w:color w:val="404040" w:themeColor="text1" w:themeTint="BF"/>
                <w:lang w:val="en-GB"/>
              </w:rPr>
              <w:drawing>
                <wp:inline distT="0" distB="0" distL="0" distR="0" wp14:anchorId="4EDAEEBC" wp14:editId="18D4FAD7">
                  <wp:extent cx="2743200" cy="2743200"/>
                  <wp:effectExtent l="0" t="0" r="0" b="0"/>
                  <wp:docPr id="540" name="Chart 540">
                    <a:extLst xmlns:a="http://schemas.openxmlformats.org/drawingml/2006/main">
                      <a:ext uri="{FF2B5EF4-FFF2-40B4-BE49-F238E27FC236}">
                        <a16:creationId xmlns:a16="http://schemas.microsoft.com/office/drawing/2014/main" id="{30FEF061-9A74-4721-A95C-2976C5150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7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tblGrid>
            <w:tr w:rsidR="00871C7A" w:rsidRPr="006560F8" w14:paraId="24C55F29" w14:textId="77777777" w:rsidTr="00666807">
              <w:trPr>
                <w:jc w:val="center"/>
              </w:trPr>
              <w:tc>
                <w:tcPr>
                  <w:tcW w:w="1899" w:type="dxa"/>
                  <w:vAlign w:val="center"/>
                </w:tcPr>
                <w:p w14:paraId="668FD34A"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4B50814E" wp14:editId="6A7D6A8B">
                        <wp:extent cx="822960" cy="89037"/>
                        <wp:effectExtent l="0" t="0" r="2540" b="0"/>
                        <wp:docPr id="534" name="Picture 5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Icon&#10;&#10;Description automatically generated"/>
                                <pic:cNvPicPr/>
                              </pic:nvPicPr>
                              <pic:blipFill rotWithShape="1">
                                <a:blip r:embed="rId38" cstate="print">
                                  <a:extLst>
                                    <a:ext uri="{28A0092B-C50C-407E-A947-70E740481C1C}">
                                      <a14:useLocalDpi xmlns:a14="http://schemas.microsoft.com/office/drawing/2010/main" val="0"/>
                                    </a:ext>
                                  </a:extLst>
                                </a:blip>
                                <a:srcRect t="28494" b="33124"/>
                                <a:stretch/>
                              </pic:blipFill>
                              <pic:spPr bwMode="auto">
                                <a:xfrm>
                                  <a:off x="0" y="0"/>
                                  <a:ext cx="822960" cy="89037"/>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6A99EEA" w14:textId="66CF282A" w:rsidR="00871C7A" w:rsidRPr="00CE6837" w:rsidRDefault="00871C7A" w:rsidP="00666807">
                  <w:pPr>
                    <w:rPr>
                      <w:rFonts w:ascii="Roboto" w:hAnsi="Roboto" w:cs="Calibri"/>
                      <w:color w:val="404040" w:themeColor="text1" w:themeTint="BF"/>
                      <w:sz w:val="14"/>
                      <w:szCs w:val="14"/>
                      <w:lang w:val="en-GB"/>
                    </w:rPr>
                  </w:pP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w:t>
                  </w:r>
                  <w:r>
                    <w:rPr>
                      <w:rFonts w:ascii="Roboto" w:hAnsi="Roboto" w:cs="Calibri"/>
                      <w:b/>
                      <w:color w:val="404040" w:themeColor="text1" w:themeTint="BF"/>
                      <w:sz w:val="14"/>
                      <w:szCs w:val="14"/>
                      <w:lang w:val="en-GB"/>
                    </w:rPr>
                    <w:t xml:space="preserve">’s </w:t>
                  </w:r>
                  <w:r w:rsidRPr="00736315">
                    <w:rPr>
                      <w:rFonts w:ascii="Roboto" w:hAnsi="Roboto" w:cs="Calibri"/>
                      <w:b/>
                      <w:color w:val="404040" w:themeColor="text1" w:themeTint="BF"/>
                      <w:sz w:val="14"/>
                      <w:szCs w:val="14"/>
                      <w:lang w:val="en-GB"/>
                    </w:rPr>
                    <w:t>historical SDG trend</w:t>
                  </w:r>
                </w:p>
              </w:tc>
              <w:tc>
                <w:tcPr>
                  <w:tcW w:w="1899" w:type="dxa"/>
                  <w:vAlign w:val="center"/>
                </w:tcPr>
                <w:p w14:paraId="24425977"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686D5533" wp14:editId="456A6549">
                        <wp:extent cx="877824" cy="92331"/>
                        <wp:effectExtent l="0" t="0" r="0" b="0"/>
                        <wp:docPr id="535" name="Picture 5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t="26831" b="31697"/>
                                <a:stretch/>
                              </pic:blipFill>
                              <pic:spPr bwMode="auto">
                                <a:xfrm>
                                  <a:off x="0" y="0"/>
                                  <a:ext cx="877824" cy="92331"/>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206EF7A2" w14:textId="77777777" w:rsidR="00871C7A"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top-performing countries’ average SDG trend</w:t>
                  </w:r>
                </w:p>
                <w:p w14:paraId="5C1ECDAD" w14:textId="77777777" w:rsidR="00871C7A" w:rsidRPr="00736315" w:rsidRDefault="00871C7A" w:rsidP="00666807">
                  <w:pPr>
                    <w:rPr>
                      <w:rFonts w:ascii="Roboto" w:hAnsi="Roboto" w:cs="Calibri"/>
                      <w:b/>
                      <w:color w:val="404040" w:themeColor="text1" w:themeTint="BF"/>
                      <w:sz w:val="14"/>
                      <w:szCs w:val="14"/>
                      <w:lang w:val="en-GB"/>
                    </w:rPr>
                  </w:pPr>
                </w:p>
              </w:tc>
            </w:tr>
            <w:tr w:rsidR="00871C7A" w:rsidRPr="006560F8" w14:paraId="0422EFA7" w14:textId="77777777" w:rsidTr="00666807">
              <w:trPr>
                <w:jc w:val="center"/>
              </w:trPr>
              <w:tc>
                <w:tcPr>
                  <w:tcW w:w="1899" w:type="dxa"/>
                  <w:vAlign w:val="center"/>
                </w:tcPr>
                <w:p w14:paraId="42E05E4B"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1DBC809B" wp14:editId="639E810A">
                        <wp:extent cx="868680" cy="96669"/>
                        <wp:effectExtent l="0" t="0" r="0" b="5080"/>
                        <wp:docPr id="536" name="Picture 536" descr="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 application, chat or text message, icon&#10;&#10;Description automatically generated"/>
                                <pic:cNvPicPr/>
                              </pic:nvPicPr>
                              <pic:blipFill rotWithShape="1">
                                <a:blip r:embed="rId40" cstate="print">
                                  <a:extLst>
                                    <a:ext uri="{28A0092B-C50C-407E-A947-70E740481C1C}">
                                      <a14:useLocalDpi xmlns:a14="http://schemas.microsoft.com/office/drawing/2010/main" val="0"/>
                                    </a:ext>
                                  </a:extLst>
                                </a:blip>
                                <a:srcRect t="26046" b="33613"/>
                                <a:stretch/>
                              </pic:blipFill>
                              <pic:spPr bwMode="auto">
                                <a:xfrm flipV="1">
                                  <a:off x="0" y="0"/>
                                  <a:ext cx="868680" cy="96669"/>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48E3824"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 xml:space="preserve">Continuation of </w:t>
                  </w: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KSA’s historical SDG trend</w:t>
                  </w:r>
                </w:p>
              </w:tc>
              <w:tc>
                <w:tcPr>
                  <w:tcW w:w="1899" w:type="dxa"/>
                  <w:vAlign w:val="center"/>
                </w:tcPr>
                <w:p w14:paraId="4F0C8F33"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52C94874" wp14:editId="0EED7298">
                        <wp:extent cx="872546" cy="98047"/>
                        <wp:effectExtent l="0" t="0" r="3810" b="3810"/>
                        <wp:docPr id="546" name="Picture 546"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chat or text message, icon&#10;&#10;Description automatically generated"/>
                                <pic:cNvPicPr/>
                              </pic:nvPicPr>
                              <pic:blipFill rotWithShape="1">
                                <a:blip r:embed="rId41" cstate="print">
                                  <a:extLst>
                                    <a:ext uri="{28A0092B-C50C-407E-A947-70E740481C1C}">
                                      <a14:useLocalDpi xmlns:a14="http://schemas.microsoft.com/office/drawing/2010/main" val="0"/>
                                    </a:ext>
                                  </a:extLst>
                                </a:blip>
                                <a:srcRect t="28584" r="3785" b="35713"/>
                                <a:stretch/>
                              </pic:blipFill>
                              <pic:spPr bwMode="auto">
                                <a:xfrm>
                                  <a:off x="0" y="0"/>
                                  <a:ext cx="881272" cy="99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2FDE745D"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bottom-performing countries’ average SDG trend</w:t>
                  </w:r>
                </w:p>
              </w:tc>
            </w:tr>
          </w:tbl>
          <w:p w14:paraId="33B93DD0" w14:textId="03CDB308" w:rsidR="00871C7A" w:rsidRPr="003C206F" w:rsidRDefault="00871C7A" w:rsidP="00764B23">
            <w:pPr>
              <w:rPr>
                <w:rFonts w:ascii="Roboto" w:hAnsi="Roboto" w:cs="Calibri"/>
                <w:b/>
                <w:bCs/>
                <w:color w:val="404040" w:themeColor="text1" w:themeTint="BF"/>
                <w:sz w:val="20"/>
                <w:szCs w:val="20"/>
                <w:lang w:val="en-GB"/>
              </w:rPr>
            </w:pPr>
          </w:p>
        </w:tc>
      </w:tr>
    </w:tbl>
    <w:p w14:paraId="081DED3F" w14:textId="0D64B3B1" w:rsidR="00871C7A" w:rsidRPr="003C206F" w:rsidRDefault="00871C7A" w:rsidP="00764B23">
      <w:pPr>
        <w:rPr>
          <w:rFonts w:ascii="Roboto" w:hAnsi="Roboto"/>
          <w:b/>
          <w:bCs/>
          <w:color w:val="404040" w:themeColor="text1" w:themeTint="BF"/>
          <w:lang w:val="en-GB"/>
        </w:rPr>
      </w:pPr>
    </w:p>
    <w:p w14:paraId="14CDF307" w14:textId="77777777" w:rsidR="00E23E11" w:rsidRDefault="00082BE4" w:rsidP="00082BE4">
      <w:pPr>
        <w:pStyle w:val="NormalWeb"/>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Relative SDG performance based on similar countries</w:t>
      </w:r>
      <w:r w:rsidRPr="003C206F">
        <w:rPr>
          <w:rFonts w:ascii="Roboto" w:hAnsi="Roboto" w:cs="Calibri"/>
          <w:color w:val="404040" w:themeColor="text1" w:themeTint="BF"/>
          <w:sz w:val="21"/>
          <w:szCs w:val="21"/>
          <w:lang w:val="en-GB"/>
        </w:rPr>
        <w:t xml:space="preserve">: </w:t>
      </w:r>
    </w:p>
    <w:p w14:paraId="67106893" w14:textId="45F7463D" w:rsidR="00E23E11" w:rsidRPr="00E23E11" w:rsidRDefault="00E23E11" w:rsidP="00E23E11">
      <w:pPr>
        <w:pStyle w:val="NormalWeb"/>
        <w:numPr>
          <w:ilvl w:val="0"/>
          <w:numId w:val="34"/>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7, the KSA is outperforming its five most similar and </w:t>
      </w:r>
      <w:proofErr w:type="gramStart"/>
      <w:r w:rsidR="00082BE4" w:rsidRPr="003C206F">
        <w:rPr>
          <w:rFonts w:ascii="Roboto" w:hAnsi="Roboto" w:cs="Calibri"/>
          <w:color w:val="404040" w:themeColor="text1" w:themeTint="BF"/>
          <w:sz w:val="21"/>
          <w:szCs w:val="21"/>
          <w:lang w:val="en-GB"/>
        </w:rPr>
        <w:t>best-performing</w:t>
      </w:r>
      <w:proofErr w:type="gramEnd"/>
      <w:r w:rsidR="00082BE4" w:rsidRPr="003C206F">
        <w:rPr>
          <w:rFonts w:ascii="Roboto" w:hAnsi="Roboto" w:cs="Calibri"/>
          <w:color w:val="404040" w:themeColor="text1" w:themeTint="BF"/>
          <w:sz w:val="21"/>
          <w:szCs w:val="21"/>
          <w:lang w:val="en-GB"/>
        </w:rPr>
        <w:t xml:space="preserve"> countries; </w:t>
      </w:r>
    </w:p>
    <w:p w14:paraId="20306CE0" w14:textId="3A4E6029" w:rsidR="00E23E11" w:rsidRPr="00E23E11" w:rsidRDefault="00E23E11" w:rsidP="00E23E11">
      <w:pPr>
        <w:pStyle w:val="NormalWeb"/>
        <w:numPr>
          <w:ilvl w:val="0"/>
          <w:numId w:val="34"/>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8, the KSA is almost outperforming its five most similar and </w:t>
      </w:r>
      <w:proofErr w:type="gramStart"/>
      <w:r w:rsidR="00082BE4" w:rsidRPr="003C206F">
        <w:rPr>
          <w:rFonts w:ascii="Roboto" w:hAnsi="Roboto" w:cs="Calibri"/>
          <w:color w:val="404040" w:themeColor="text1" w:themeTint="BF"/>
          <w:sz w:val="21"/>
          <w:szCs w:val="21"/>
          <w:lang w:val="en-GB"/>
        </w:rPr>
        <w:t>best-performing</w:t>
      </w:r>
      <w:proofErr w:type="gramEnd"/>
      <w:r w:rsidR="00082BE4" w:rsidRPr="003C206F">
        <w:rPr>
          <w:rFonts w:ascii="Roboto" w:hAnsi="Roboto" w:cs="Calibri"/>
          <w:color w:val="404040" w:themeColor="text1" w:themeTint="BF"/>
          <w:sz w:val="21"/>
          <w:szCs w:val="21"/>
          <w:lang w:val="en-GB"/>
        </w:rPr>
        <w:t xml:space="preserve"> countries; </w:t>
      </w:r>
    </w:p>
    <w:p w14:paraId="4521B057" w14:textId="6BCBE21A" w:rsidR="00E23E11" w:rsidRPr="00E23E11" w:rsidRDefault="00E23E11" w:rsidP="00E23E11">
      <w:pPr>
        <w:pStyle w:val="NormalWeb"/>
        <w:numPr>
          <w:ilvl w:val="0"/>
          <w:numId w:val="34"/>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lastRenderedPageBreak/>
        <w:t>F</w:t>
      </w:r>
      <w:r w:rsidR="00082BE4" w:rsidRPr="003C206F">
        <w:rPr>
          <w:rFonts w:ascii="Roboto" w:hAnsi="Roboto" w:cs="Calibri"/>
          <w:color w:val="404040" w:themeColor="text1" w:themeTint="BF"/>
          <w:sz w:val="21"/>
          <w:szCs w:val="21"/>
          <w:lang w:val="en-GB"/>
        </w:rPr>
        <w:t xml:space="preserve">or SDG 9, the KSA is outperforming its five most similar and </w:t>
      </w:r>
      <w:proofErr w:type="gramStart"/>
      <w:r w:rsidR="00082BE4" w:rsidRPr="003C206F">
        <w:rPr>
          <w:rFonts w:ascii="Roboto" w:hAnsi="Roboto" w:cs="Calibri"/>
          <w:color w:val="404040" w:themeColor="text1" w:themeTint="BF"/>
          <w:sz w:val="21"/>
          <w:szCs w:val="21"/>
          <w:lang w:val="en-GB"/>
        </w:rPr>
        <w:t>best-performing</w:t>
      </w:r>
      <w:proofErr w:type="gramEnd"/>
      <w:r w:rsidR="00082BE4" w:rsidRPr="003C206F">
        <w:rPr>
          <w:rFonts w:ascii="Roboto" w:hAnsi="Roboto" w:cs="Calibri"/>
          <w:color w:val="404040" w:themeColor="text1" w:themeTint="BF"/>
          <w:sz w:val="21"/>
          <w:szCs w:val="21"/>
          <w:lang w:val="en-GB"/>
        </w:rPr>
        <w:t xml:space="preserve"> countries; </w:t>
      </w:r>
    </w:p>
    <w:p w14:paraId="754F3680" w14:textId="38FBD7A4" w:rsidR="00E23E11" w:rsidRPr="00E23E11" w:rsidRDefault="00E23E11" w:rsidP="00E23E11">
      <w:pPr>
        <w:pStyle w:val="NormalWeb"/>
        <w:numPr>
          <w:ilvl w:val="0"/>
          <w:numId w:val="34"/>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w:t>
      </w:r>
      <w:r w:rsidR="00082BE4">
        <w:rPr>
          <w:rFonts w:ascii="Roboto" w:hAnsi="Roboto" w:cs="Calibri"/>
          <w:color w:val="404040" w:themeColor="text1" w:themeTint="BF"/>
          <w:sz w:val="21"/>
          <w:szCs w:val="21"/>
          <w:lang w:val="en-GB"/>
        </w:rPr>
        <w:t xml:space="preserve">SDG 10, the KSA’s performance is indeterminate due to a lack of data availability; and </w:t>
      </w:r>
    </w:p>
    <w:p w14:paraId="582FBE15" w14:textId="308C6E45" w:rsidR="00082BE4" w:rsidRPr="003C206F" w:rsidRDefault="00E23E11" w:rsidP="003F0EDB">
      <w:pPr>
        <w:pStyle w:val="NormalWeb"/>
        <w:numPr>
          <w:ilvl w:val="0"/>
          <w:numId w:val="34"/>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or SDG 11, the KSA has an in</w:t>
      </w:r>
      <w:r w:rsidR="00082BE4">
        <w:rPr>
          <w:rFonts w:ascii="Roboto" w:hAnsi="Roboto" w:cs="Calibri"/>
          <w:color w:val="404040" w:themeColor="text1" w:themeTint="BF"/>
          <w:sz w:val="21"/>
          <w:szCs w:val="21"/>
          <w:lang w:val="en-GB"/>
        </w:rPr>
        <w:t>-</w:t>
      </w:r>
      <w:r w:rsidR="00082BE4" w:rsidRPr="003C206F">
        <w:rPr>
          <w:rFonts w:ascii="Roboto" w:hAnsi="Roboto" w:cs="Calibri"/>
          <w:color w:val="404040" w:themeColor="text1" w:themeTint="BF"/>
          <w:sz w:val="21"/>
          <w:szCs w:val="21"/>
          <w:lang w:val="en-GB"/>
        </w:rPr>
        <w:t>between performance compared to its five most similar countries.</w:t>
      </w:r>
    </w:p>
    <w:p w14:paraId="3A9C1C9F" w14:textId="77777777" w:rsidR="00082BE4" w:rsidRPr="003C206F"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28F2A342" w14:textId="77777777" w:rsidR="00E23E11"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r w:rsidRPr="003C206F">
        <w:rPr>
          <w:rFonts w:ascii="Roboto" w:hAnsi="Roboto"/>
          <w:color w:val="404040" w:themeColor="text1" w:themeTint="BF"/>
          <w:sz w:val="21"/>
          <w:szCs w:val="21"/>
          <w:u w:val="single"/>
          <w:lang w:val="en-GB"/>
        </w:rPr>
        <w:t>SDG/SDR indicators on track</w:t>
      </w:r>
      <w:r w:rsidRPr="003C206F">
        <w:rPr>
          <w:rFonts w:ascii="Roboto" w:hAnsi="Roboto"/>
          <w:color w:val="404040" w:themeColor="text1" w:themeTint="BF"/>
          <w:sz w:val="21"/>
          <w:szCs w:val="21"/>
          <w:lang w:val="en-GB"/>
        </w:rPr>
        <w:t xml:space="preserve">: </w:t>
      </w:r>
    </w:p>
    <w:p w14:paraId="1C06FFF9" w14:textId="166F0FAE" w:rsidR="00E23E11" w:rsidRDefault="00E23E11" w:rsidP="00E23E11">
      <w:pPr>
        <w:pStyle w:val="NormalWeb"/>
        <w:numPr>
          <w:ilvl w:val="0"/>
          <w:numId w:val="35"/>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7, three of three SDG/SDR indicators are on </w:t>
      </w:r>
      <w:proofErr w:type="gramStart"/>
      <w:r w:rsidR="00082BE4" w:rsidRPr="003C206F">
        <w:rPr>
          <w:rFonts w:ascii="Roboto" w:hAnsi="Roboto"/>
          <w:color w:val="404040" w:themeColor="text1" w:themeTint="BF"/>
          <w:sz w:val="21"/>
          <w:szCs w:val="21"/>
          <w:lang w:val="en-GB"/>
        </w:rPr>
        <w:t>track;</w:t>
      </w:r>
      <w:proofErr w:type="gramEnd"/>
      <w:r w:rsidR="00082BE4" w:rsidRPr="003C206F">
        <w:rPr>
          <w:rFonts w:ascii="Roboto" w:hAnsi="Roboto"/>
          <w:color w:val="404040" w:themeColor="text1" w:themeTint="BF"/>
          <w:sz w:val="21"/>
          <w:szCs w:val="21"/>
          <w:lang w:val="en-GB"/>
        </w:rPr>
        <w:t xml:space="preserve"> </w:t>
      </w:r>
    </w:p>
    <w:p w14:paraId="0950177D" w14:textId="3DB94C0B" w:rsidR="00E23E11" w:rsidRDefault="00E23E11" w:rsidP="00E23E11">
      <w:pPr>
        <w:pStyle w:val="NormalWeb"/>
        <w:numPr>
          <w:ilvl w:val="0"/>
          <w:numId w:val="35"/>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8, two of six SDG/SDR indicators are on </w:t>
      </w:r>
      <w:proofErr w:type="gramStart"/>
      <w:r w:rsidR="00082BE4" w:rsidRPr="003C206F">
        <w:rPr>
          <w:rFonts w:ascii="Roboto" w:hAnsi="Roboto"/>
          <w:color w:val="404040" w:themeColor="text1" w:themeTint="BF"/>
          <w:sz w:val="21"/>
          <w:szCs w:val="21"/>
          <w:lang w:val="en-GB"/>
        </w:rPr>
        <w:t>track;</w:t>
      </w:r>
      <w:proofErr w:type="gramEnd"/>
      <w:r w:rsidR="00082BE4" w:rsidRPr="003C206F">
        <w:rPr>
          <w:rFonts w:ascii="Roboto" w:hAnsi="Roboto"/>
          <w:color w:val="404040" w:themeColor="text1" w:themeTint="BF"/>
          <w:sz w:val="21"/>
          <w:szCs w:val="21"/>
          <w:lang w:val="en-GB"/>
        </w:rPr>
        <w:t xml:space="preserve"> </w:t>
      </w:r>
    </w:p>
    <w:p w14:paraId="3A464DF5" w14:textId="08A726EE" w:rsidR="00E23E11" w:rsidRDefault="00E23E11" w:rsidP="00E23E11">
      <w:pPr>
        <w:pStyle w:val="NormalWeb"/>
        <w:numPr>
          <w:ilvl w:val="0"/>
          <w:numId w:val="35"/>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9, three of six SDG/SDR indicators are on </w:t>
      </w:r>
      <w:proofErr w:type="gramStart"/>
      <w:r w:rsidR="00082BE4" w:rsidRPr="003C206F">
        <w:rPr>
          <w:rFonts w:ascii="Roboto" w:hAnsi="Roboto"/>
          <w:color w:val="404040" w:themeColor="text1" w:themeTint="BF"/>
          <w:sz w:val="21"/>
          <w:szCs w:val="21"/>
          <w:lang w:val="en-GB"/>
        </w:rPr>
        <w:t>track;</w:t>
      </w:r>
      <w:proofErr w:type="gramEnd"/>
      <w:r w:rsidR="00082BE4" w:rsidRPr="003C206F">
        <w:rPr>
          <w:rFonts w:ascii="Roboto" w:hAnsi="Roboto"/>
          <w:color w:val="404040" w:themeColor="text1" w:themeTint="BF"/>
          <w:sz w:val="21"/>
          <w:szCs w:val="21"/>
          <w:lang w:val="en-GB"/>
        </w:rPr>
        <w:t xml:space="preserve"> </w:t>
      </w:r>
    </w:p>
    <w:p w14:paraId="67B482B7" w14:textId="33F59DB7" w:rsidR="00E23E11" w:rsidRDefault="00E23E11" w:rsidP="00E23E11">
      <w:pPr>
        <w:pStyle w:val="NormalWeb"/>
        <w:numPr>
          <w:ilvl w:val="0"/>
          <w:numId w:val="35"/>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10, the KSA’s performance is indeterminate </w:t>
      </w:r>
      <w:r w:rsidR="00082BE4" w:rsidRPr="003C206F">
        <w:rPr>
          <w:rFonts w:ascii="Roboto" w:hAnsi="Roboto" w:cs="Calibri"/>
          <w:color w:val="404040" w:themeColor="text1" w:themeTint="BF"/>
          <w:sz w:val="21"/>
          <w:szCs w:val="21"/>
          <w:lang w:val="en-GB"/>
        </w:rPr>
        <w:t xml:space="preserve">due to </w:t>
      </w:r>
      <w:r w:rsidR="00082BE4">
        <w:rPr>
          <w:rFonts w:ascii="Roboto" w:hAnsi="Roboto" w:cs="Calibri"/>
          <w:color w:val="404040" w:themeColor="text1" w:themeTint="BF"/>
          <w:sz w:val="21"/>
          <w:szCs w:val="21"/>
          <w:lang w:val="en-GB"/>
        </w:rPr>
        <w:t xml:space="preserve">a </w:t>
      </w:r>
      <w:r w:rsidR="00082BE4" w:rsidRPr="003C206F">
        <w:rPr>
          <w:rFonts w:ascii="Roboto" w:hAnsi="Roboto" w:cs="Calibri"/>
          <w:color w:val="404040" w:themeColor="text1" w:themeTint="BF"/>
          <w:sz w:val="21"/>
          <w:szCs w:val="21"/>
          <w:lang w:val="en-GB"/>
        </w:rPr>
        <w:t>lack of data availability</w:t>
      </w:r>
      <w:r w:rsidR="00082BE4" w:rsidRPr="003C206F">
        <w:rPr>
          <w:rFonts w:ascii="Roboto" w:hAnsi="Roboto"/>
          <w:color w:val="404040" w:themeColor="text1" w:themeTint="BF"/>
          <w:sz w:val="21"/>
          <w:szCs w:val="21"/>
          <w:lang w:val="en-GB"/>
        </w:rPr>
        <w:t xml:space="preserve">; and </w:t>
      </w:r>
    </w:p>
    <w:p w14:paraId="721F98C7" w14:textId="70B054C9" w:rsidR="00871C7A" w:rsidRPr="003C206F" w:rsidRDefault="00E23E11" w:rsidP="003F0EDB">
      <w:pPr>
        <w:pStyle w:val="NormalWeb"/>
        <w:numPr>
          <w:ilvl w:val="0"/>
          <w:numId w:val="35"/>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or SDG 11, one of four SDG/SDR indicators are on track.</w:t>
      </w:r>
    </w:p>
    <w:p w14:paraId="7AE0B1DE" w14:textId="0B15A67F" w:rsidR="00871C7A" w:rsidRDefault="00871C7A" w:rsidP="00764B23">
      <w:pPr>
        <w:rPr>
          <w:rFonts w:ascii="Roboto" w:hAnsi="Roboto"/>
          <w:b/>
          <w:bCs/>
          <w:color w:val="404040" w:themeColor="text1" w:themeTint="BF"/>
          <w:lang w:val="en-GB"/>
        </w:rPr>
      </w:pPr>
    </w:p>
    <w:p w14:paraId="44E62A1F" w14:textId="4CEAB244" w:rsidR="001C231A" w:rsidRPr="003C206F" w:rsidRDefault="00C978D4" w:rsidP="00764B23">
      <w:pPr>
        <w:rPr>
          <w:rFonts w:ascii="Roboto" w:hAnsi="Roboto"/>
          <w:b/>
          <w:bCs/>
          <w:color w:val="404040" w:themeColor="text1" w:themeTint="BF"/>
          <w:lang w:val="en-GB"/>
        </w:rPr>
      </w:pPr>
      <w:r>
        <w:rPr>
          <w:rFonts w:ascii="Roboto" w:hAnsi="Roboto"/>
          <w:b/>
          <w:bCs/>
          <w:color w:val="404040" w:themeColor="text1" w:themeTint="BF"/>
          <w:lang w:val="en-GB"/>
        </w:rPr>
        <w:br w:type="page"/>
      </w:r>
    </w:p>
    <w:tbl>
      <w:tblPr>
        <w:tblStyle w:val="TableGrid"/>
        <w:tblW w:w="0" w:type="auto"/>
        <w:tblBorders>
          <w:top w:val="none" w:sz="0" w:space="0" w:color="auto"/>
          <w:left w:val="single" w:sz="24" w:space="0" w:color="FCC30B"/>
          <w:bottom w:val="none" w:sz="0" w:space="0" w:color="auto"/>
          <w:right w:val="none" w:sz="0" w:space="0" w:color="auto"/>
          <w:insideH w:val="single" w:sz="24" w:space="0" w:color="FCC30B"/>
          <w:insideV w:val="none" w:sz="0" w:space="0" w:color="auto"/>
        </w:tblBorders>
        <w:tblLook w:val="04A0" w:firstRow="1" w:lastRow="0" w:firstColumn="1" w:lastColumn="0" w:noHBand="0" w:noVBand="1"/>
      </w:tblPr>
      <w:tblGrid>
        <w:gridCol w:w="469"/>
        <w:gridCol w:w="8521"/>
      </w:tblGrid>
      <w:tr w:rsidR="00871C7A" w:rsidRPr="003C206F" w14:paraId="74BDCBE7" w14:textId="77777777" w:rsidTr="00395D77">
        <w:tc>
          <w:tcPr>
            <w:tcW w:w="420" w:type="dxa"/>
            <w:shd w:val="clear" w:color="auto" w:fill="FCC30B"/>
            <w:vAlign w:val="center"/>
          </w:tcPr>
          <w:p w14:paraId="3AF15364" w14:textId="77777777" w:rsidR="00871C7A" w:rsidRPr="003C206F" w:rsidRDefault="00871C7A" w:rsidP="00F25C36">
            <w:pPr>
              <w:pStyle w:val="NormalWeb"/>
              <w:spacing w:before="0" w:beforeAutospacing="0" w:after="0" w:afterAutospacing="0"/>
              <w:jc w:val="center"/>
              <w:rPr>
                <w:rFonts w:ascii="Roboto" w:hAnsi="Roboto" w:cs="Calibri"/>
                <w:b/>
                <w:color w:val="404040" w:themeColor="text1" w:themeTint="BF"/>
                <w:sz w:val="44"/>
                <w:szCs w:val="44"/>
                <w:lang w:val="en-GB"/>
              </w:rPr>
            </w:pPr>
            <w:r w:rsidRPr="008029E6">
              <w:rPr>
                <w:rFonts w:ascii="Roboto" w:hAnsi="Roboto" w:cs="Calibri"/>
                <w:b/>
                <w:color w:val="FFFFFF" w:themeColor="background1"/>
                <w:sz w:val="44"/>
                <w:szCs w:val="44"/>
                <w:lang w:val="en-GB"/>
              </w:rPr>
              <w:lastRenderedPageBreak/>
              <w:t>4</w:t>
            </w:r>
          </w:p>
        </w:tc>
        <w:tc>
          <w:tcPr>
            <w:tcW w:w="9260" w:type="dxa"/>
          </w:tcPr>
          <w:p w14:paraId="5718FD64" w14:textId="37B1A505" w:rsidR="00871C7A" w:rsidRPr="003C206F" w:rsidRDefault="00871C7A" w:rsidP="004E454E">
            <w:pPr>
              <w:pStyle w:val="NormalWeb"/>
              <w:spacing w:before="40" w:beforeAutospacing="0" w:after="40" w:afterAutospacing="0"/>
              <w:ind w:left="144" w:right="144"/>
              <w:jc w:val="both"/>
              <w:rPr>
                <w:rFonts w:ascii="Roboto" w:hAnsi="Roboto"/>
                <w:color w:val="404040" w:themeColor="text1" w:themeTint="BF"/>
                <w:sz w:val="22"/>
                <w:szCs w:val="22"/>
                <w:lang w:val="en-GB"/>
              </w:rPr>
            </w:pPr>
            <w:r w:rsidRPr="003C206F">
              <w:rPr>
                <w:rFonts w:ascii="Roboto" w:hAnsi="Roboto" w:cs="Calibri"/>
                <w:b/>
                <w:color w:val="404040" w:themeColor="text1" w:themeTint="BF"/>
                <w:sz w:val="22"/>
                <w:szCs w:val="22"/>
                <w:lang w:val="en-GB"/>
              </w:rPr>
              <w:t xml:space="preserve">Strategic Priority Area 4: Peace, Partnership, and Other Cross-Cutting Issues — </w:t>
            </w:r>
            <w:r w:rsidR="00C978D4">
              <w:rPr>
                <w:rFonts w:ascii="Roboto" w:hAnsi="Roboto" w:cs="Calibri"/>
                <w:b/>
                <w:color w:val="404040" w:themeColor="text1" w:themeTint="BF"/>
                <w:sz w:val="22"/>
                <w:szCs w:val="22"/>
                <w:lang w:val="en-GB"/>
              </w:rPr>
              <w:t>F</w:t>
            </w:r>
            <w:r w:rsidRPr="003C206F">
              <w:rPr>
                <w:rFonts w:ascii="Roboto" w:hAnsi="Roboto" w:cs="Calibri"/>
                <w:b/>
                <w:color w:val="404040" w:themeColor="text1" w:themeTint="BF"/>
                <w:sz w:val="22"/>
                <w:szCs w:val="22"/>
                <w:lang w:val="en-GB"/>
              </w:rPr>
              <w:t>oster peaceful, just, and inclusive societies and mobilize the means required for implementation (SDGs 16–17)</w:t>
            </w:r>
          </w:p>
        </w:tc>
      </w:tr>
    </w:tbl>
    <w:p w14:paraId="4A1819DC" w14:textId="77777777" w:rsidR="00871C7A" w:rsidRPr="003C206F" w:rsidRDefault="00871C7A" w:rsidP="00AA68B2">
      <w:pPr>
        <w:rPr>
          <w:rFonts w:ascii="Roboto" w:hAnsi="Roboto" w:cs="Calibri"/>
          <w:b/>
          <w:bCs/>
          <w:color w:val="404040" w:themeColor="text1" w:themeTint="BF"/>
          <w:sz w:val="20"/>
          <w:szCs w:val="20"/>
          <w:lang w:val="en-GB"/>
        </w:rPr>
      </w:pPr>
    </w:p>
    <w:tbl>
      <w:tblPr>
        <w:tblStyle w:val="TableGrid"/>
        <w:tblW w:w="0" w:type="auto"/>
        <w:tblBorders>
          <w:top w:val="single" w:sz="24" w:space="0" w:color="FCC30B"/>
          <w:left w:val="single" w:sz="24" w:space="0" w:color="FCC30B"/>
          <w:bottom w:val="single" w:sz="24" w:space="0" w:color="FCC30B"/>
          <w:right w:val="single" w:sz="24" w:space="0" w:color="FCC30B"/>
          <w:insideH w:val="none" w:sz="0" w:space="0" w:color="auto"/>
          <w:insideV w:val="none" w:sz="0" w:space="0" w:color="auto"/>
        </w:tblBorders>
        <w:tblLook w:val="04A0" w:firstRow="1" w:lastRow="0" w:firstColumn="1" w:lastColumn="0" w:noHBand="0" w:noVBand="1"/>
      </w:tblPr>
      <w:tblGrid>
        <w:gridCol w:w="8960"/>
      </w:tblGrid>
      <w:tr w:rsidR="00871C7A" w:rsidRPr="008029E6" w14:paraId="32933BEF" w14:textId="77777777" w:rsidTr="00402565">
        <w:tc>
          <w:tcPr>
            <w:tcW w:w="9010" w:type="dxa"/>
            <w:tcBorders>
              <w:top w:val="single" w:sz="24" w:space="0" w:color="FCC30B"/>
              <w:bottom w:val="single" w:sz="24" w:space="0" w:color="FCC30B"/>
            </w:tcBorders>
            <w:shd w:val="clear" w:color="auto" w:fill="FCC30B"/>
          </w:tcPr>
          <w:p w14:paraId="5EB6E512" w14:textId="38106C85" w:rsidR="00871C7A" w:rsidRPr="008029E6" w:rsidRDefault="00871C7A" w:rsidP="00AA68B2">
            <w:pPr>
              <w:rPr>
                <w:rFonts w:ascii="Roboto" w:hAnsi="Roboto"/>
                <w:b/>
                <w:bCs/>
                <w:color w:val="FFFFFF" w:themeColor="background1"/>
                <w:sz w:val="21"/>
                <w:szCs w:val="21"/>
                <w:lang w:val="en-GB"/>
              </w:rPr>
            </w:pPr>
            <w:r w:rsidRPr="008029E6">
              <w:rPr>
                <w:rFonts w:ascii="Roboto" w:hAnsi="Roboto"/>
                <w:b/>
                <w:bCs/>
                <w:color w:val="FFFFFF" w:themeColor="background1"/>
                <w:sz w:val="21"/>
                <w:szCs w:val="21"/>
                <w:lang w:val="en-GB"/>
              </w:rPr>
              <w:t xml:space="preserve">Figure 2.4 Strategic Priority Area 4 – Peace, Partnership, and Other Cross-Cutting Issues </w:t>
            </w:r>
          </w:p>
          <w:p w14:paraId="19462201" w14:textId="64CEE7EA" w:rsidR="00871C7A" w:rsidRPr="008029E6" w:rsidRDefault="00871C7A" w:rsidP="0034335E">
            <w:pPr>
              <w:pStyle w:val="KSASubHead1-Blue"/>
              <w:rPr>
                <w:rFonts w:ascii="Roboto" w:hAnsi="Roboto"/>
                <w:i/>
                <w:iCs/>
                <w:color w:val="FFFFFF" w:themeColor="background1"/>
                <w:sz w:val="21"/>
                <w:szCs w:val="21"/>
              </w:rPr>
            </w:pPr>
            <w:r w:rsidRPr="008029E6">
              <w:rPr>
                <w:rFonts w:ascii="Roboto" w:hAnsi="Roboto"/>
                <w:i/>
                <w:iCs/>
                <w:color w:val="FFFFFF" w:themeColor="background1"/>
                <w:sz w:val="21"/>
                <w:szCs w:val="21"/>
              </w:rPr>
              <w:t>3 of 15 SDG/SDR indicators on track</w:t>
            </w:r>
          </w:p>
        </w:tc>
      </w:tr>
      <w:tr w:rsidR="00871C7A" w:rsidRPr="003C206F" w14:paraId="41D496E1" w14:textId="77777777" w:rsidTr="00A55315">
        <w:trPr>
          <w:trHeight w:val="5538"/>
        </w:trPr>
        <w:tc>
          <w:tcPr>
            <w:tcW w:w="9010" w:type="dxa"/>
            <w:tcBorders>
              <w:top w:val="single" w:sz="24" w:space="0" w:color="FCC30B"/>
            </w:tcBorders>
          </w:tcPr>
          <w:p w14:paraId="45EE5F0B" w14:textId="77777777" w:rsidR="00871C7A" w:rsidRDefault="00871C7A" w:rsidP="00AA68B2">
            <w:pPr>
              <w:rPr>
                <w:rFonts w:ascii="Roboto" w:hAnsi="Roboto" w:cs="Calibri"/>
                <w:b/>
                <w:color w:val="404040" w:themeColor="text1" w:themeTint="BF"/>
                <w:sz w:val="20"/>
                <w:szCs w:val="20"/>
                <w:lang w:val="en-GB"/>
              </w:rPr>
            </w:pPr>
            <w:r w:rsidRPr="003C206F">
              <w:rPr>
                <w:rFonts w:ascii="Roboto" w:hAnsi="Roboto"/>
                <w:b/>
                <w:noProof/>
                <w:color w:val="404040" w:themeColor="text1" w:themeTint="BF"/>
                <w:lang w:val="en-GB"/>
              </w:rPr>
              <w:drawing>
                <wp:inline distT="0" distB="0" distL="0" distR="0" wp14:anchorId="7249A647" wp14:editId="6E7D48F7">
                  <wp:extent cx="2743200" cy="2743200"/>
                  <wp:effectExtent l="0" t="0" r="0" b="0"/>
                  <wp:docPr id="541" name="Chart 541">
                    <a:extLst xmlns:a="http://schemas.openxmlformats.org/drawingml/2006/main">
                      <a:ext uri="{FF2B5EF4-FFF2-40B4-BE49-F238E27FC236}">
                        <a16:creationId xmlns:a16="http://schemas.microsoft.com/office/drawing/2014/main" id="{845295E4-0407-4103-B3FC-E57BADDDE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3C206F">
              <w:rPr>
                <w:rFonts w:ascii="Roboto" w:hAnsi="Roboto"/>
                <w:b/>
                <w:bCs/>
                <w:noProof/>
                <w:color w:val="404040" w:themeColor="text1" w:themeTint="BF"/>
                <w:lang w:val="en-GB"/>
              </w:rPr>
              <w:drawing>
                <wp:inline distT="0" distB="0" distL="0" distR="0" wp14:anchorId="69BB9CA0" wp14:editId="57652843">
                  <wp:extent cx="2743200" cy="2745509"/>
                  <wp:effectExtent l="0" t="0" r="0" b="0"/>
                  <wp:docPr id="542" name="Chart 542">
                    <a:extLst xmlns:a="http://schemas.openxmlformats.org/drawingml/2006/main">
                      <a:ext uri="{FF2B5EF4-FFF2-40B4-BE49-F238E27FC236}">
                        <a16:creationId xmlns:a16="http://schemas.microsoft.com/office/drawing/2014/main" id="{27F27051-DC30-4185-BDBE-951ACE4B5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7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9"/>
              <w:gridCol w:w="1899"/>
              <w:gridCol w:w="1899"/>
            </w:tblGrid>
            <w:tr w:rsidR="00871C7A" w:rsidRPr="006560F8" w14:paraId="66DAEEF0" w14:textId="77777777" w:rsidTr="00666807">
              <w:trPr>
                <w:jc w:val="center"/>
              </w:trPr>
              <w:tc>
                <w:tcPr>
                  <w:tcW w:w="1899" w:type="dxa"/>
                  <w:vAlign w:val="center"/>
                </w:tcPr>
                <w:p w14:paraId="64C0F891"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5FEE6105" wp14:editId="570CDEAD">
                        <wp:extent cx="822960" cy="89037"/>
                        <wp:effectExtent l="0" t="0" r="2540" b="0"/>
                        <wp:docPr id="547" name="Picture 5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descr="Icon&#10;&#10;Description automatically generated"/>
                                <pic:cNvPicPr/>
                              </pic:nvPicPr>
                              <pic:blipFill rotWithShape="1">
                                <a:blip r:embed="rId38" cstate="print">
                                  <a:extLst>
                                    <a:ext uri="{28A0092B-C50C-407E-A947-70E740481C1C}">
                                      <a14:useLocalDpi xmlns:a14="http://schemas.microsoft.com/office/drawing/2010/main" val="0"/>
                                    </a:ext>
                                  </a:extLst>
                                </a:blip>
                                <a:srcRect t="28494" b="33124"/>
                                <a:stretch/>
                              </pic:blipFill>
                              <pic:spPr bwMode="auto">
                                <a:xfrm>
                                  <a:off x="0" y="0"/>
                                  <a:ext cx="822960" cy="89037"/>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5A0CCF21" w14:textId="670CD776" w:rsidR="00871C7A" w:rsidRPr="00CE6837" w:rsidRDefault="00871C7A" w:rsidP="00666807">
                  <w:pPr>
                    <w:rPr>
                      <w:rFonts w:ascii="Roboto" w:hAnsi="Roboto" w:cs="Calibri"/>
                      <w:color w:val="404040" w:themeColor="text1" w:themeTint="BF"/>
                      <w:sz w:val="14"/>
                      <w:szCs w:val="14"/>
                      <w:lang w:val="en-GB"/>
                    </w:rPr>
                  </w:pP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w:t>
                  </w:r>
                  <w:r>
                    <w:rPr>
                      <w:rFonts w:ascii="Roboto" w:hAnsi="Roboto" w:cs="Calibri"/>
                      <w:b/>
                      <w:color w:val="404040" w:themeColor="text1" w:themeTint="BF"/>
                      <w:sz w:val="14"/>
                      <w:szCs w:val="14"/>
                      <w:lang w:val="en-GB"/>
                    </w:rPr>
                    <w:t xml:space="preserve">’s </w:t>
                  </w:r>
                  <w:r w:rsidRPr="00736315">
                    <w:rPr>
                      <w:rFonts w:ascii="Roboto" w:hAnsi="Roboto" w:cs="Calibri"/>
                      <w:b/>
                      <w:color w:val="404040" w:themeColor="text1" w:themeTint="BF"/>
                      <w:sz w:val="14"/>
                      <w:szCs w:val="14"/>
                      <w:lang w:val="en-GB"/>
                    </w:rPr>
                    <w:t>historical SDG trend</w:t>
                  </w:r>
                </w:p>
              </w:tc>
              <w:tc>
                <w:tcPr>
                  <w:tcW w:w="1899" w:type="dxa"/>
                  <w:vAlign w:val="center"/>
                </w:tcPr>
                <w:p w14:paraId="387319E1"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23C765DF" wp14:editId="339BD961">
                        <wp:extent cx="877824" cy="92331"/>
                        <wp:effectExtent l="0" t="0" r="0" b="0"/>
                        <wp:docPr id="548" name="Picture 54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descr="Graphical user interface&#10;&#10;Description automatically generated with low confidence"/>
                                <pic:cNvPicPr/>
                              </pic:nvPicPr>
                              <pic:blipFill rotWithShape="1">
                                <a:blip r:embed="rId39" cstate="print">
                                  <a:extLst>
                                    <a:ext uri="{28A0092B-C50C-407E-A947-70E740481C1C}">
                                      <a14:useLocalDpi xmlns:a14="http://schemas.microsoft.com/office/drawing/2010/main" val="0"/>
                                    </a:ext>
                                  </a:extLst>
                                </a:blip>
                                <a:srcRect t="26831" b="31697"/>
                                <a:stretch/>
                              </pic:blipFill>
                              <pic:spPr bwMode="auto">
                                <a:xfrm>
                                  <a:off x="0" y="0"/>
                                  <a:ext cx="877824" cy="92331"/>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32B48E01" w14:textId="77777777" w:rsidR="00871C7A"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top-performing countries’ average SDG trend</w:t>
                  </w:r>
                </w:p>
                <w:p w14:paraId="53B877DB" w14:textId="77777777" w:rsidR="00871C7A" w:rsidRPr="00736315" w:rsidRDefault="00871C7A" w:rsidP="00666807">
                  <w:pPr>
                    <w:rPr>
                      <w:rFonts w:ascii="Roboto" w:hAnsi="Roboto" w:cs="Calibri"/>
                      <w:b/>
                      <w:color w:val="404040" w:themeColor="text1" w:themeTint="BF"/>
                      <w:sz w:val="14"/>
                      <w:szCs w:val="14"/>
                      <w:lang w:val="en-GB"/>
                    </w:rPr>
                  </w:pPr>
                </w:p>
              </w:tc>
            </w:tr>
            <w:tr w:rsidR="00871C7A" w:rsidRPr="006560F8" w14:paraId="025A5EAA" w14:textId="77777777" w:rsidTr="00666807">
              <w:trPr>
                <w:jc w:val="center"/>
              </w:trPr>
              <w:tc>
                <w:tcPr>
                  <w:tcW w:w="1899" w:type="dxa"/>
                  <w:vAlign w:val="center"/>
                </w:tcPr>
                <w:p w14:paraId="780D59FB" w14:textId="0F92C488"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7CEF2F02" wp14:editId="7EEB5895">
                        <wp:extent cx="868680" cy="96669"/>
                        <wp:effectExtent l="0" t="0" r="0" b="5080"/>
                        <wp:docPr id="549" name="Picture 549" descr="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 application, chat or text message, icon&#10;&#10;Description automatically generated"/>
                                <pic:cNvPicPr/>
                              </pic:nvPicPr>
                              <pic:blipFill rotWithShape="1">
                                <a:blip r:embed="rId40" cstate="print">
                                  <a:extLst>
                                    <a:ext uri="{28A0092B-C50C-407E-A947-70E740481C1C}">
                                      <a14:useLocalDpi xmlns:a14="http://schemas.microsoft.com/office/drawing/2010/main" val="0"/>
                                    </a:ext>
                                  </a:extLst>
                                </a:blip>
                                <a:srcRect t="26046" b="33613"/>
                                <a:stretch/>
                              </pic:blipFill>
                              <pic:spPr bwMode="auto">
                                <a:xfrm flipV="1">
                                  <a:off x="0" y="0"/>
                                  <a:ext cx="868680" cy="96669"/>
                                </a:xfrm>
                                <a:prstGeom prst="rect">
                                  <a:avLst/>
                                </a:prstGeom>
                                <a:ln>
                                  <a:noFill/>
                                </a:ln>
                                <a:extLst>
                                  <a:ext uri="{53640926-AAD7-44D8-BBD7-CCE9431645EC}">
                                    <a14:shadowObscured xmlns:a14="http://schemas.microsoft.com/office/drawing/2010/main"/>
                                  </a:ext>
                                </a:extLst>
                              </pic:spPr>
                            </pic:pic>
                          </a:graphicData>
                        </a:graphic>
                      </wp:inline>
                    </w:drawing>
                  </w:r>
                  <w:r>
                    <w:rPr>
                      <w:rFonts w:ascii="Roboto" w:hAnsi="Roboto" w:cs="Calibri"/>
                      <w:b/>
                      <w:color w:val="404040" w:themeColor="text1" w:themeTint="BF"/>
                      <w:sz w:val="14"/>
                      <w:szCs w:val="14"/>
                      <w:lang w:val="en-GB"/>
                    </w:rPr>
                    <w:t xml:space="preserve">  </w:t>
                  </w:r>
                </w:p>
              </w:tc>
              <w:tc>
                <w:tcPr>
                  <w:tcW w:w="1899" w:type="dxa"/>
                  <w:vAlign w:val="center"/>
                </w:tcPr>
                <w:p w14:paraId="3341E87F"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 xml:space="preserve">Continuation of </w:t>
                  </w:r>
                  <w:r>
                    <w:rPr>
                      <w:rFonts w:ascii="Roboto" w:hAnsi="Roboto" w:cs="Calibri"/>
                      <w:b/>
                      <w:color w:val="404040" w:themeColor="text1" w:themeTint="BF"/>
                      <w:sz w:val="14"/>
                      <w:szCs w:val="14"/>
                      <w:lang w:val="en-GB"/>
                    </w:rPr>
                    <w:t xml:space="preserve">the </w:t>
                  </w:r>
                  <w:r w:rsidRPr="00736315">
                    <w:rPr>
                      <w:rFonts w:ascii="Roboto" w:hAnsi="Roboto" w:cs="Calibri"/>
                      <w:b/>
                      <w:color w:val="404040" w:themeColor="text1" w:themeTint="BF"/>
                      <w:sz w:val="14"/>
                      <w:szCs w:val="14"/>
                      <w:lang w:val="en-GB"/>
                    </w:rPr>
                    <w:t>KSA’s historical SDG trend</w:t>
                  </w:r>
                </w:p>
              </w:tc>
              <w:tc>
                <w:tcPr>
                  <w:tcW w:w="1899" w:type="dxa"/>
                  <w:vAlign w:val="center"/>
                </w:tcPr>
                <w:p w14:paraId="028122C9" w14:textId="77777777" w:rsidR="00871C7A" w:rsidRPr="00736315" w:rsidRDefault="00871C7A" w:rsidP="00666807">
                  <w:pPr>
                    <w:jc w:val="center"/>
                    <w:rPr>
                      <w:rFonts w:ascii="Roboto" w:hAnsi="Roboto" w:cs="Calibri"/>
                      <w:b/>
                      <w:color w:val="404040" w:themeColor="text1" w:themeTint="BF"/>
                      <w:sz w:val="14"/>
                      <w:szCs w:val="14"/>
                      <w:lang w:val="en-GB"/>
                    </w:rPr>
                  </w:pPr>
                  <w:r w:rsidRPr="00736315">
                    <w:rPr>
                      <w:rFonts w:ascii="Roboto" w:hAnsi="Roboto" w:cs="Calibri"/>
                      <w:b/>
                      <w:noProof/>
                      <w:color w:val="404040" w:themeColor="text1" w:themeTint="BF"/>
                      <w:sz w:val="14"/>
                      <w:szCs w:val="14"/>
                      <w:lang w:val="en-GB"/>
                    </w:rPr>
                    <w:drawing>
                      <wp:inline distT="0" distB="0" distL="0" distR="0" wp14:anchorId="25B24BE2" wp14:editId="4415EB67">
                        <wp:extent cx="872546" cy="98047"/>
                        <wp:effectExtent l="0" t="0" r="3810" b="3810"/>
                        <wp:docPr id="550" name="Picture 550" descr="Graphical user interface, text, application, chat or text messag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Graphical user interface, text, application, chat or text message, icon&#10;&#10;Description automatically generated"/>
                                <pic:cNvPicPr/>
                              </pic:nvPicPr>
                              <pic:blipFill rotWithShape="1">
                                <a:blip r:embed="rId41" cstate="print">
                                  <a:extLst>
                                    <a:ext uri="{28A0092B-C50C-407E-A947-70E740481C1C}">
                                      <a14:useLocalDpi xmlns:a14="http://schemas.microsoft.com/office/drawing/2010/main" val="0"/>
                                    </a:ext>
                                  </a:extLst>
                                </a:blip>
                                <a:srcRect t="28584" r="3785" b="35713"/>
                                <a:stretch/>
                              </pic:blipFill>
                              <pic:spPr bwMode="auto">
                                <a:xfrm>
                                  <a:off x="0" y="0"/>
                                  <a:ext cx="881272" cy="99028"/>
                                </a:xfrm>
                                <a:prstGeom prst="rect">
                                  <a:avLst/>
                                </a:prstGeom>
                                <a:ln>
                                  <a:noFill/>
                                </a:ln>
                                <a:extLst>
                                  <a:ext uri="{53640926-AAD7-44D8-BBD7-CCE9431645EC}">
                                    <a14:shadowObscured xmlns:a14="http://schemas.microsoft.com/office/drawing/2010/main"/>
                                  </a:ext>
                                </a:extLst>
                              </pic:spPr>
                            </pic:pic>
                          </a:graphicData>
                        </a:graphic>
                      </wp:inline>
                    </w:drawing>
                  </w:r>
                </w:p>
              </w:tc>
              <w:tc>
                <w:tcPr>
                  <w:tcW w:w="1899" w:type="dxa"/>
                  <w:vAlign w:val="center"/>
                </w:tcPr>
                <w:p w14:paraId="2F2039E9" w14:textId="77777777" w:rsidR="00871C7A" w:rsidRPr="00736315" w:rsidRDefault="00871C7A" w:rsidP="00666807">
                  <w:pPr>
                    <w:rPr>
                      <w:rFonts w:ascii="Roboto" w:hAnsi="Roboto" w:cs="Calibri"/>
                      <w:b/>
                      <w:color w:val="404040" w:themeColor="text1" w:themeTint="BF"/>
                      <w:sz w:val="14"/>
                      <w:szCs w:val="14"/>
                      <w:lang w:val="en-GB"/>
                    </w:rPr>
                  </w:pPr>
                  <w:r w:rsidRPr="00736315">
                    <w:rPr>
                      <w:rFonts w:ascii="Roboto" w:hAnsi="Roboto" w:cs="Calibri"/>
                      <w:b/>
                      <w:color w:val="404040" w:themeColor="text1" w:themeTint="BF"/>
                      <w:sz w:val="14"/>
                      <w:szCs w:val="14"/>
                      <w:lang w:val="en-GB"/>
                    </w:rPr>
                    <w:t>Five most similar bottom-performing countries’ average SDG trend</w:t>
                  </w:r>
                </w:p>
              </w:tc>
            </w:tr>
          </w:tbl>
          <w:p w14:paraId="51659A12" w14:textId="4FF004A0" w:rsidR="00871C7A" w:rsidRPr="003C206F" w:rsidRDefault="00871C7A" w:rsidP="00AA68B2">
            <w:pPr>
              <w:rPr>
                <w:rFonts w:ascii="Roboto" w:hAnsi="Roboto" w:cs="Calibri"/>
                <w:b/>
                <w:bCs/>
                <w:color w:val="404040" w:themeColor="text1" w:themeTint="BF"/>
                <w:sz w:val="20"/>
                <w:szCs w:val="20"/>
                <w:lang w:val="en-GB"/>
              </w:rPr>
            </w:pPr>
          </w:p>
        </w:tc>
      </w:tr>
    </w:tbl>
    <w:p w14:paraId="763D4B00" w14:textId="2BF1D8DA" w:rsidR="00871C7A" w:rsidRPr="003C206F" w:rsidRDefault="00871C7A" w:rsidP="00764B23">
      <w:pPr>
        <w:rPr>
          <w:rFonts w:ascii="Roboto" w:hAnsi="Roboto"/>
          <w:b/>
          <w:bCs/>
          <w:color w:val="404040" w:themeColor="text1" w:themeTint="BF"/>
          <w:lang w:val="en-GB"/>
        </w:rPr>
      </w:pPr>
    </w:p>
    <w:p w14:paraId="0CA3D98A" w14:textId="77777777" w:rsidR="00F14C5A" w:rsidRDefault="00082BE4" w:rsidP="00082BE4">
      <w:pPr>
        <w:pStyle w:val="NormalWeb"/>
        <w:spacing w:before="0" w:beforeAutospacing="0" w:after="0" w:afterAutospacing="0"/>
        <w:jc w:val="both"/>
        <w:textAlignment w:val="baseline"/>
        <w:rPr>
          <w:rFonts w:ascii="Roboto" w:hAnsi="Roboto" w:cs="Calibri"/>
          <w:color w:val="404040" w:themeColor="text1" w:themeTint="BF"/>
          <w:sz w:val="21"/>
          <w:szCs w:val="21"/>
          <w:lang w:val="en-GB"/>
        </w:rPr>
      </w:pPr>
      <w:bookmarkStart w:id="73" w:name="OLE_LINK4"/>
      <w:bookmarkStart w:id="74" w:name="OLE_LINK5"/>
      <w:r w:rsidRPr="003C206F">
        <w:rPr>
          <w:rFonts w:ascii="Roboto" w:hAnsi="Roboto" w:cs="Calibri"/>
          <w:color w:val="404040" w:themeColor="text1" w:themeTint="BF"/>
          <w:sz w:val="21"/>
          <w:szCs w:val="21"/>
          <w:u w:val="single"/>
          <w:lang w:val="en-GB"/>
        </w:rPr>
        <w:t>Relative SDG performance based on similar countries</w:t>
      </w:r>
      <w:r w:rsidRPr="003C206F">
        <w:rPr>
          <w:rFonts w:ascii="Roboto" w:hAnsi="Roboto" w:cs="Calibri"/>
          <w:color w:val="404040" w:themeColor="text1" w:themeTint="BF"/>
          <w:sz w:val="21"/>
          <w:szCs w:val="21"/>
          <w:lang w:val="en-GB"/>
        </w:rPr>
        <w:t xml:space="preserve">: </w:t>
      </w:r>
    </w:p>
    <w:p w14:paraId="2CF1418A" w14:textId="3514905A" w:rsidR="00F14C5A" w:rsidRPr="00F14C5A" w:rsidRDefault="00F14C5A" w:rsidP="00F14C5A">
      <w:pPr>
        <w:pStyle w:val="NormalWeb"/>
        <w:numPr>
          <w:ilvl w:val="0"/>
          <w:numId w:val="36"/>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 xml:space="preserve">or SDG 16, the KSA is almost outperforming its five most similar and best-performing countries; </w:t>
      </w:r>
      <w:r>
        <w:rPr>
          <w:rFonts w:ascii="Roboto" w:hAnsi="Roboto" w:cs="Calibri"/>
          <w:color w:val="404040" w:themeColor="text1" w:themeTint="BF"/>
          <w:sz w:val="21"/>
          <w:szCs w:val="21"/>
          <w:lang w:val="en-GB"/>
        </w:rPr>
        <w:t xml:space="preserve">and </w:t>
      </w:r>
    </w:p>
    <w:p w14:paraId="399D78DD" w14:textId="70F296DF" w:rsidR="00082BE4" w:rsidRPr="003C206F" w:rsidRDefault="00F14C5A" w:rsidP="003F0EDB">
      <w:pPr>
        <w:pStyle w:val="NormalWeb"/>
        <w:numPr>
          <w:ilvl w:val="0"/>
          <w:numId w:val="36"/>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F</w:t>
      </w:r>
      <w:r w:rsidR="00082BE4" w:rsidRPr="003C206F">
        <w:rPr>
          <w:rFonts w:ascii="Roboto" w:hAnsi="Roboto" w:cs="Calibri"/>
          <w:color w:val="404040" w:themeColor="text1" w:themeTint="BF"/>
          <w:sz w:val="21"/>
          <w:szCs w:val="21"/>
          <w:lang w:val="en-GB"/>
        </w:rPr>
        <w:t>or SDG 17, the KSA is underperforming its five most similar and worst-performing countries.</w:t>
      </w:r>
    </w:p>
    <w:p w14:paraId="69329BE3" w14:textId="77777777" w:rsidR="00082BE4" w:rsidRPr="003C206F"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2CD165AE" w14:textId="77777777" w:rsidR="00F14C5A"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r w:rsidRPr="003C206F">
        <w:rPr>
          <w:rFonts w:ascii="Roboto" w:hAnsi="Roboto"/>
          <w:color w:val="404040" w:themeColor="text1" w:themeTint="BF"/>
          <w:sz w:val="21"/>
          <w:szCs w:val="21"/>
          <w:u w:val="single"/>
          <w:lang w:val="en-GB"/>
        </w:rPr>
        <w:t>SDG/SDR indicators on track</w:t>
      </w:r>
      <w:r w:rsidRPr="003C206F">
        <w:rPr>
          <w:rFonts w:ascii="Roboto" w:hAnsi="Roboto"/>
          <w:color w:val="404040" w:themeColor="text1" w:themeTint="BF"/>
          <w:sz w:val="21"/>
          <w:szCs w:val="21"/>
          <w:lang w:val="en-GB"/>
        </w:rPr>
        <w:t xml:space="preserve">: </w:t>
      </w:r>
    </w:p>
    <w:p w14:paraId="09A348C5" w14:textId="2592E279" w:rsidR="00F14C5A" w:rsidRDefault="00F14C5A" w:rsidP="00F14C5A">
      <w:pPr>
        <w:pStyle w:val="NormalWeb"/>
        <w:numPr>
          <w:ilvl w:val="0"/>
          <w:numId w:val="37"/>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 xml:space="preserve">or SDG 16, two of 10 SDG/SDR indicators are on track; </w:t>
      </w:r>
      <w:r>
        <w:rPr>
          <w:rFonts w:ascii="Roboto" w:hAnsi="Roboto"/>
          <w:color w:val="404040" w:themeColor="text1" w:themeTint="BF"/>
          <w:sz w:val="21"/>
          <w:szCs w:val="21"/>
          <w:lang w:val="en-GB"/>
        </w:rPr>
        <w:t xml:space="preserve">and </w:t>
      </w:r>
    </w:p>
    <w:p w14:paraId="559338FE" w14:textId="0F07005F" w:rsidR="00082BE4" w:rsidRDefault="00F14C5A" w:rsidP="003F0EDB">
      <w:pPr>
        <w:pStyle w:val="NormalWeb"/>
        <w:numPr>
          <w:ilvl w:val="0"/>
          <w:numId w:val="37"/>
        </w:numPr>
        <w:spacing w:before="0" w:beforeAutospacing="0" w:after="0" w:afterAutospacing="0"/>
        <w:jc w:val="both"/>
        <w:textAlignment w:val="baseline"/>
        <w:rPr>
          <w:rFonts w:ascii="Roboto" w:hAnsi="Roboto"/>
          <w:color w:val="404040" w:themeColor="text1" w:themeTint="BF"/>
          <w:sz w:val="21"/>
          <w:szCs w:val="21"/>
          <w:lang w:val="en-GB"/>
        </w:rPr>
      </w:pPr>
      <w:r>
        <w:rPr>
          <w:rFonts w:ascii="Roboto" w:hAnsi="Roboto"/>
          <w:color w:val="404040" w:themeColor="text1" w:themeTint="BF"/>
          <w:sz w:val="21"/>
          <w:szCs w:val="21"/>
          <w:lang w:val="en-GB"/>
        </w:rPr>
        <w:t>F</w:t>
      </w:r>
      <w:r w:rsidR="00082BE4" w:rsidRPr="003C206F">
        <w:rPr>
          <w:rFonts w:ascii="Roboto" w:hAnsi="Roboto"/>
          <w:color w:val="404040" w:themeColor="text1" w:themeTint="BF"/>
          <w:sz w:val="21"/>
          <w:szCs w:val="21"/>
          <w:lang w:val="en-GB"/>
        </w:rPr>
        <w:t>or SDG 17, one of five SDG/SDR indicators is on track.</w:t>
      </w:r>
    </w:p>
    <w:p w14:paraId="0BFE46D6" w14:textId="77777777" w:rsidR="00082BE4" w:rsidRPr="003C206F" w:rsidRDefault="00082BE4" w:rsidP="00082BE4">
      <w:pPr>
        <w:pStyle w:val="NormalWeb"/>
        <w:spacing w:before="0" w:beforeAutospacing="0" w:after="0" w:afterAutospacing="0"/>
        <w:jc w:val="both"/>
        <w:textAlignment w:val="baseline"/>
        <w:rPr>
          <w:rFonts w:ascii="Roboto" w:hAnsi="Roboto"/>
          <w:color w:val="404040" w:themeColor="text1" w:themeTint="BF"/>
          <w:sz w:val="21"/>
          <w:szCs w:val="21"/>
          <w:lang w:val="en-GB"/>
        </w:rPr>
      </w:pPr>
    </w:p>
    <w:p w14:paraId="34F03C0F" w14:textId="16B192B7" w:rsidR="00082BE4" w:rsidRPr="00012B18" w:rsidRDefault="00082BE4" w:rsidP="00082BE4">
      <w:pPr>
        <w:shd w:val="clear" w:color="auto" w:fill="FFFFFF"/>
        <w:ind w:right="30"/>
        <w:jc w:val="both"/>
        <w:rPr>
          <w:rFonts w:ascii="Roboto" w:hAnsi="Roboto" w:cs="Calibri"/>
          <w:color w:val="404040" w:themeColor="text1" w:themeTint="BF"/>
          <w:sz w:val="21"/>
          <w:szCs w:val="21"/>
          <w:lang w:val="en-GB"/>
        </w:rPr>
      </w:pPr>
      <w:r w:rsidRPr="00012B18">
        <w:rPr>
          <w:rFonts w:ascii="Roboto" w:hAnsi="Roboto" w:cs="Calibri"/>
          <w:color w:val="404040" w:themeColor="text1" w:themeTint="BF"/>
          <w:sz w:val="21"/>
          <w:szCs w:val="21"/>
          <w:lang w:val="en-GB"/>
        </w:rPr>
        <w:t xml:space="preserve">Strategic Priority Area 4 has SDG 16 </w:t>
      </w:r>
      <w:r w:rsidR="00266D78">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Peace, Justice, and Strong Institutions</w:t>
      </w:r>
      <w:r w:rsidR="00266D78">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 xml:space="preserve"> and SDG 17 </w:t>
      </w:r>
      <w:r w:rsidR="00266D78">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Partnerships for the Goals</w:t>
      </w:r>
      <w:r w:rsidR="00266D78">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 xml:space="preserve"> at its core. These </w:t>
      </w:r>
      <w:r w:rsidR="00266D78">
        <w:rPr>
          <w:rFonts w:ascii="Roboto" w:hAnsi="Roboto" w:cs="Calibri"/>
          <w:color w:val="404040" w:themeColor="text1" w:themeTint="BF"/>
          <w:sz w:val="21"/>
          <w:szCs w:val="21"/>
          <w:lang w:val="en-GB"/>
        </w:rPr>
        <w:t>two</w:t>
      </w:r>
      <w:r w:rsidRPr="00012B18">
        <w:rPr>
          <w:rFonts w:ascii="Roboto" w:hAnsi="Roboto" w:cs="Calibri"/>
          <w:color w:val="404040" w:themeColor="text1" w:themeTint="BF"/>
          <w:sz w:val="21"/>
          <w:szCs w:val="21"/>
          <w:lang w:val="en-GB"/>
        </w:rPr>
        <w:t xml:space="preserve"> SDGs are the nexus of the other fifteen SDGs providing the groundwork for advancement in all other development domains in support of the progressive strides that the KSA is making towards achieving the SDGs and enhancing the rights and resilience of vulnerable groups to Leave No One Behind.</w:t>
      </w:r>
    </w:p>
    <w:p w14:paraId="6336F3B2" w14:textId="77777777" w:rsidR="00082BE4" w:rsidRDefault="00082BE4" w:rsidP="00082BE4">
      <w:pPr>
        <w:shd w:val="clear" w:color="auto" w:fill="FFFFFF"/>
        <w:ind w:right="30"/>
        <w:jc w:val="both"/>
        <w:rPr>
          <w:rFonts w:ascii="Roboto" w:hAnsi="Roboto" w:cs="Calibri"/>
          <w:b/>
          <w:bCs/>
          <w:color w:val="404040" w:themeColor="text1" w:themeTint="BF"/>
          <w:sz w:val="21"/>
          <w:szCs w:val="21"/>
          <w:lang w:val="en-GB"/>
        </w:rPr>
      </w:pPr>
    </w:p>
    <w:p w14:paraId="4E2FCCD4" w14:textId="7F2E336D" w:rsidR="00082BE4" w:rsidRPr="00012B18" w:rsidRDefault="00082BE4" w:rsidP="00082BE4">
      <w:pPr>
        <w:shd w:val="clear" w:color="auto" w:fill="FFFFFF"/>
        <w:ind w:right="30"/>
        <w:jc w:val="both"/>
        <w:rPr>
          <w:rFonts w:ascii="Roboto" w:hAnsi="Roboto" w:cs="Calibri"/>
          <w:b/>
          <w:bCs/>
          <w:color w:val="404040" w:themeColor="text1" w:themeTint="BF"/>
          <w:sz w:val="21"/>
          <w:szCs w:val="21"/>
          <w:lang w:val="en-GB"/>
        </w:rPr>
      </w:pPr>
      <w:r w:rsidRPr="00012B18">
        <w:rPr>
          <w:rFonts w:ascii="Roboto" w:hAnsi="Roboto" w:cs="Calibri"/>
          <w:b/>
          <w:bCs/>
          <w:color w:val="404040" w:themeColor="text1" w:themeTint="BF"/>
          <w:sz w:val="21"/>
          <w:szCs w:val="21"/>
          <w:lang w:val="en-GB"/>
        </w:rPr>
        <w:t>Goal 16</w:t>
      </w:r>
      <w:r w:rsidR="00525C7B">
        <w:rPr>
          <w:rFonts w:ascii="Roboto" w:hAnsi="Roboto" w:cs="Calibri"/>
          <w:b/>
          <w:bCs/>
          <w:color w:val="404040" w:themeColor="text1" w:themeTint="BF"/>
          <w:sz w:val="21"/>
          <w:szCs w:val="21"/>
          <w:lang w:val="en-GB"/>
        </w:rPr>
        <w:t>:</w:t>
      </w:r>
      <w:r w:rsidRPr="00012B18">
        <w:rPr>
          <w:rFonts w:ascii="Roboto" w:hAnsi="Roboto" w:cs="Calibri"/>
          <w:b/>
          <w:bCs/>
          <w:color w:val="404040" w:themeColor="text1" w:themeTint="BF"/>
          <w:sz w:val="21"/>
          <w:szCs w:val="21"/>
          <w:lang w:val="en-GB"/>
        </w:rPr>
        <w:t xml:space="preserve"> A </w:t>
      </w:r>
      <w:r w:rsidR="00525C7B">
        <w:rPr>
          <w:rFonts w:ascii="Roboto" w:hAnsi="Roboto" w:cs="Calibri"/>
          <w:b/>
          <w:bCs/>
          <w:color w:val="404040" w:themeColor="text1" w:themeTint="BF"/>
          <w:sz w:val="21"/>
          <w:szCs w:val="21"/>
          <w:lang w:val="en-GB"/>
        </w:rPr>
        <w:t>K</w:t>
      </w:r>
      <w:r w:rsidRPr="00012B18">
        <w:rPr>
          <w:rFonts w:ascii="Roboto" w:hAnsi="Roboto" w:cs="Calibri"/>
          <w:b/>
          <w:bCs/>
          <w:color w:val="404040" w:themeColor="text1" w:themeTint="BF"/>
          <w:sz w:val="21"/>
          <w:szCs w:val="21"/>
          <w:lang w:val="en-GB"/>
        </w:rPr>
        <w:t xml:space="preserve">ey </w:t>
      </w:r>
      <w:r w:rsidR="00525C7B">
        <w:rPr>
          <w:rFonts w:ascii="Roboto" w:hAnsi="Roboto" w:cs="Calibri"/>
          <w:b/>
          <w:bCs/>
          <w:color w:val="404040" w:themeColor="text1" w:themeTint="BF"/>
          <w:sz w:val="21"/>
          <w:szCs w:val="21"/>
          <w:lang w:val="en-GB"/>
        </w:rPr>
        <w:t>E</w:t>
      </w:r>
      <w:r w:rsidRPr="00012B18">
        <w:rPr>
          <w:rFonts w:ascii="Roboto" w:hAnsi="Roboto" w:cs="Calibri"/>
          <w:b/>
          <w:bCs/>
          <w:color w:val="404040" w:themeColor="text1" w:themeTint="BF"/>
          <w:sz w:val="21"/>
          <w:szCs w:val="21"/>
          <w:lang w:val="en-GB"/>
        </w:rPr>
        <w:t>nabler for</w:t>
      </w:r>
      <w:r w:rsidR="00525C7B">
        <w:rPr>
          <w:rFonts w:ascii="Roboto" w:hAnsi="Roboto" w:cs="Calibri"/>
          <w:b/>
          <w:bCs/>
          <w:color w:val="404040" w:themeColor="text1" w:themeTint="BF"/>
          <w:sz w:val="21"/>
          <w:szCs w:val="21"/>
          <w:lang w:val="en-GB"/>
        </w:rPr>
        <w:t xml:space="preserve"> the</w:t>
      </w:r>
      <w:r w:rsidRPr="00012B18">
        <w:rPr>
          <w:rFonts w:ascii="Roboto" w:hAnsi="Roboto" w:cs="Calibri"/>
          <w:b/>
          <w:bCs/>
          <w:color w:val="404040" w:themeColor="text1" w:themeTint="BF"/>
          <w:sz w:val="21"/>
          <w:szCs w:val="21"/>
          <w:lang w:val="en-GB"/>
        </w:rPr>
        <w:t xml:space="preserve"> SDGs</w:t>
      </w:r>
    </w:p>
    <w:p w14:paraId="1AD1C0B4" w14:textId="77777777" w:rsidR="00082BE4" w:rsidRPr="00012B18" w:rsidRDefault="00082BE4" w:rsidP="00082BE4">
      <w:pPr>
        <w:shd w:val="clear" w:color="auto" w:fill="FFFFFF"/>
        <w:ind w:right="30"/>
        <w:jc w:val="both"/>
        <w:rPr>
          <w:rFonts w:ascii="Roboto" w:hAnsi="Roboto" w:cs="Calibri"/>
          <w:b/>
          <w:bCs/>
          <w:color w:val="404040" w:themeColor="text1" w:themeTint="BF"/>
          <w:sz w:val="21"/>
          <w:szCs w:val="21"/>
          <w:lang w:val="en-GB"/>
        </w:rPr>
      </w:pPr>
    </w:p>
    <w:p w14:paraId="7BDA6B24" w14:textId="05ADF311" w:rsidR="00082BE4" w:rsidRPr="00012B18" w:rsidRDefault="00082BE4" w:rsidP="00082BE4">
      <w:pPr>
        <w:shd w:val="clear" w:color="auto" w:fill="FFFFFF"/>
        <w:ind w:right="30"/>
        <w:jc w:val="both"/>
        <w:rPr>
          <w:rFonts w:ascii="Roboto" w:hAnsi="Roboto" w:cs="Calibri"/>
          <w:color w:val="404040" w:themeColor="text1" w:themeTint="BF"/>
          <w:sz w:val="21"/>
          <w:szCs w:val="21"/>
          <w:lang w:val="en-GB"/>
        </w:rPr>
      </w:pPr>
      <w:r w:rsidRPr="00012B18">
        <w:rPr>
          <w:rFonts w:ascii="Roboto" w:hAnsi="Roboto" w:cs="Segoe UI"/>
          <w:color w:val="404040" w:themeColor="text1" w:themeTint="BF"/>
          <w:sz w:val="21"/>
          <w:szCs w:val="21"/>
          <w:lang w:val="en-GB"/>
        </w:rPr>
        <w:t xml:space="preserve">In addressing inequalities, discrimination, and the social exclusion of vulnerable groups, </w:t>
      </w:r>
      <w:r w:rsidR="00093A98">
        <w:rPr>
          <w:rFonts w:ascii="Roboto" w:hAnsi="Roboto" w:cs="Segoe UI"/>
          <w:color w:val="404040" w:themeColor="text1" w:themeTint="BF"/>
          <w:sz w:val="21"/>
          <w:szCs w:val="21"/>
          <w:lang w:val="en-GB"/>
        </w:rPr>
        <w:t xml:space="preserve">the </w:t>
      </w:r>
      <w:r w:rsidR="003F0EDB">
        <w:rPr>
          <w:rFonts w:ascii="Roboto" w:hAnsi="Roboto" w:cs="Segoe UI"/>
          <w:color w:val="404040" w:themeColor="text1" w:themeTint="BF"/>
          <w:sz w:val="21"/>
          <w:szCs w:val="21"/>
          <w:lang w:val="en-GB"/>
        </w:rPr>
        <w:t xml:space="preserve">UN’s </w:t>
      </w:r>
      <w:r w:rsidR="00093A98">
        <w:rPr>
          <w:rFonts w:ascii="Roboto" w:hAnsi="Roboto" w:cs="Segoe UI"/>
          <w:color w:val="404040" w:themeColor="text1" w:themeTint="BF"/>
          <w:sz w:val="21"/>
          <w:szCs w:val="21"/>
          <w:lang w:val="en-GB"/>
        </w:rPr>
        <w:t xml:space="preserve">2030 </w:t>
      </w:r>
      <w:r w:rsidRPr="00012B18">
        <w:rPr>
          <w:rFonts w:ascii="Roboto" w:hAnsi="Roboto" w:cs="Segoe UI"/>
          <w:color w:val="404040" w:themeColor="text1" w:themeTint="BF"/>
          <w:sz w:val="21"/>
          <w:szCs w:val="21"/>
          <w:lang w:val="en-GB"/>
        </w:rPr>
        <w:t xml:space="preserve">Agenda promotes people-centred change by mainstreaming human rights into all development activities and relying upon human rights data to inform its priorities. </w:t>
      </w:r>
      <w:r w:rsidRPr="00012B18">
        <w:rPr>
          <w:rFonts w:ascii="Roboto" w:hAnsi="Roboto" w:cs="Calibri"/>
          <w:color w:val="404040" w:themeColor="text1" w:themeTint="BF"/>
          <w:sz w:val="21"/>
          <w:szCs w:val="21"/>
          <w:lang w:val="en-GB"/>
        </w:rPr>
        <w:t xml:space="preserve">The full achievement of Agenda 2030 relies on a robust commitment to SDG 16, ensuring that all members of Saudi society are afforded the same rights and that social cohesion is organically strengthened. </w:t>
      </w:r>
    </w:p>
    <w:p w14:paraId="054D354C" w14:textId="77777777" w:rsidR="00082BE4" w:rsidRPr="00012B18" w:rsidRDefault="00082BE4" w:rsidP="00082BE4">
      <w:pPr>
        <w:shd w:val="clear" w:color="auto" w:fill="FFFFFF"/>
        <w:ind w:right="30"/>
        <w:jc w:val="both"/>
        <w:rPr>
          <w:rFonts w:ascii="Roboto" w:hAnsi="Roboto" w:cs="Calibri"/>
          <w:color w:val="404040" w:themeColor="text1" w:themeTint="BF"/>
          <w:sz w:val="21"/>
          <w:szCs w:val="21"/>
          <w:lang w:val="en-GB"/>
        </w:rPr>
      </w:pPr>
    </w:p>
    <w:p w14:paraId="7E0269C4" w14:textId="50FB97DC" w:rsidR="00082BE4" w:rsidRPr="00012B18" w:rsidRDefault="00082BE4" w:rsidP="00082BE4">
      <w:pPr>
        <w:spacing w:after="200"/>
        <w:jc w:val="both"/>
        <w:rPr>
          <w:rFonts w:ascii="Roboto" w:hAnsi="Roboto" w:cs="Calibri"/>
          <w:color w:val="404040" w:themeColor="text1" w:themeTint="BF"/>
          <w:sz w:val="21"/>
          <w:szCs w:val="21"/>
          <w:lang w:val="en-GB"/>
        </w:rPr>
      </w:pPr>
      <w:r w:rsidRPr="00012B18">
        <w:rPr>
          <w:rFonts w:ascii="Roboto" w:hAnsi="Roboto" w:cs="Calibri"/>
          <w:color w:val="404040" w:themeColor="text1" w:themeTint="BF"/>
          <w:sz w:val="21"/>
          <w:szCs w:val="21"/>
          <w:lang w:val="en-GB"/>
        </w:rPr>
        <w:lastRenderedPageBreak/>
        <w:t xml:space="preserve">While the KSA is characterized by a strong sense of shared national identity and has one of the most cohesive societies in the region, some </w:t>
      </w:r>
      <w:r w:rsidR="00F967E9">
        <w:rPr>
          <w:rFonts w:ascii="Roboto" w:hAnsi="Roboto" w:cs="Calibri"/>
          <w:color w:val="404040" w:themeColor="text1" w:themeTint="BF"/>
          <w:sz w:val="21"/>
          <w:szCs w:val="21"/>
          <w:lang w:val="en-GB"/>
        </w:rPr>
        <w:t>risk</w:t>
      </w:r>
      <w:r w:rsidR="00D80AFE">
        <w:rPr>
          <w:rFonts w:ascii="Roboto" w:hAnsi="Roboto" w:cs="Calibri"/>
          <w:color w:val="404040" w:themeColor="text1" w:themeTint="BF"/>
          <w:sz w:val="21"/>
          <w:szCs w:val="21"/>
          <w:lang w:val="en-GB"/>
        </w:rPr>
        <w:t>s</w:t>
      </w:r>
      <w:r w:rsidR="00F967E9">
        <w:rPr>
          <w:rFonts w:ascii="Roboto" w:hAnsi="Roboto" w:cs="Calibri"/>
          <w:color w:val="404040" w:themeColor="text1" w:themeTint="BF"/>
          <w:sz w:val="21"/>
          <w:szCs w:val="21"/>
          <w:lang w:val="en-GB"/>
        </w:rPr>
        <w:t xml:space="preserve"> and </w:t>
      </w:r>
      <w:r w:rsidRPr="00012B18">
        <w:rPr>
          <w:rFonts w:ascii="Roboto" w:hAnsi="Roboto" w:cs="Calibri"/>
          <w:color w:val="404040" w:themeColor="text1" w:themeTint="BF"/>
          <w:sz w:val="21"/>
          <w:szCs w:val="21"/>
          <w:lang w:val="en-GB"/>
        </w:rPr>
        <w:t>vulnerabili</w:t>
      </w:r>
      <w:r w:rsidR="00F967E9">
        <w:rPr>
          <w:rFonts w:ascii="Roboto" w:hAnsi="Roboto" w:cs="Calibri"/>
          <w:color w:val="404040" w:themeColor="text1" w:themeTint="BF"/>
          <w:sz w:val="21"/>
          <w:szCs w:val="21"/>
          <w:lang w:val="en-GB"/>
        </w:rPr>
        <w:t>ties</w:t>
      </w:r>
      <w:r w:rsidRPr="00012B18">
        <w:rPr>
          <w:rFonts w:ascii="Roboto" w:hAnsi="Roboto" w:cs="Calibri"/>
          <w:color w:val="404040" w:themeColor="text1" w:themeTint="BF"/>
          <w:sz w:val="21"/>
          <w:szCs w:val="21"/>
          <w:lang w:val="en-GB"/>
        </w:rPr>
        <w:t xml:space="preserve"> still exist. Among the</w:t>
      </w:r>
      <w:r w:rsidR="00F967E9">
        <w:rPr>
          <w:rFonts w:ascii="Roboto" w:hAnsi="Roboto" w:cs="Calibri"/>
          <w:color w:val="404040" w:themeColor="text1" w:themeTint="BF"/>
          <w:sz w:val="21"/>
          <w:szCs w:val="21"/>
          <w:lang w:val="en-GB"/>
        </w:rPr>
        <w:t xml:space="preserve"> risk</w:t>
      </w:r>
      <w:r w:rsidR="00D80AFE">
        <w:rPr>
          <w:rFonts w:ascii="Roboto" w:hAnsi="Roboto" w:cs="Calibri"/>
          <w:color w:val="404040" w:themeColor="text1" w:themeTint="BF"/>
          <w:sz w:val="21"/>
          <w:szCs w:val="21"/>
          <w:lang w:val="en-GB"/>
        </w:rPr>
        <w:t>s</w:t>
      </w:r>
      <w:r w:rsidR="00F967E9">
        <w:rPr>
          <w:rFonts w:ascii="Roboto" w:hAnsi="Roboto" w:cs="Calibri"/>
          <w:color w:val="404040" w:themeColor="text1" w:themeTint="BF"/>
          <w:sz w:val="21"/>
          <w:szCs w:val="21"/>
          <w:lang w:val="en-GB"/>
        </w:rPr>
        <w:t xml:space="preserve"> and</w:t>
      </w:r>
      <w:r w:rsidRPr="00012B18">
        <w:rPr>
          <w:rFonts w:ascii="Roboto" w:hAnsi="Roboto" w:cs="Calibri"/>
          <w:color w:val="404040" w:themeColor="text1" w:themeTint="BF"/>
          <w:sz w:val="21"/>
          <w:szCs w:val="21"/>
          <w:lang w:val="en-GB"/>
        </w:rPr>
        <w:t xml:space="preserve"> vulnerabilit</w:t>
      </w:r>
      <w:r w:rsidR="00F967E9">
        <w:rPr>
          <w:rFonts w:ascii="Roboto" w:hAnsi="Roboto" w:cs="Calibri"/>
          <w:color w:val="404040" w:themeColor="text1" w:themeTint="BF"/>
          <w:sz w:val="21"/>
          <w:szCs w:val="21"/>
          <w:lang w:val="en-GB"/>
        </w:rPr>
        <w:t>ies</w:t>
      </w:r>
      <w:r w:rsidRPr="00012B18">
        <w:rPr>
          <w:rFonts w:ascii="Roboto" w:hAnsi="Roboto" w:cs="Calibri"/>
          <w:color w:val="404040" w:themeColor="text1" w:themeTint="BF"/>
          <w:sz w:val="21"/>
          <w:szCs w:val="21"/>
          <w:lang w:val="en-GB"/>
        </w:rPr>
        <w:t xml:space="preserve"> </w:t>
      </w:r>
      <w:r w:rsidR="00D80AFE">
        <w:rPr>
          <w:rFonts w:ascii="Roboto" w:hAnsi="Roboto" w:cs="Calibri"/>
          <w:color w:val="404040" w:themeColor="text1" w:themeTint="BF"/>
          <w:sz w:val="21"/>
          <w:szCs w:val="21"/>
          <w:lang w:val="en-GB"/>
        </w:rPr>
        <w:t>are</w:t>
      </w:r>
      <w:r w:rsidRPr="00012B18">
        <w:rPr>
          <w:rFonts w:ascii="Roboto" w:hAnsi="Roboto" w:cs="Calibri"/>
          <w:color w:val="404040" w:themeColor="text1" w:themeTint="BF"/>
          <w:sz w:val="21"/>
          <w:szCs w:val="21"/>
          <w:lang w:val="en-GB"/>
        </w:rPr>
        <w:t xml:space="preserve"> violent extremism</w:t>
      </w:r>
      <w:r w:rsidR="00D80AFE">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 xml:space="preserve"> which, despite tremendous efforts by the Government</w:t>
      </w:r>
      <w:r w:rsidR="00F967E9">
        <w:rPr>
          <w:rFonts w:ascii="Roboto" w:hAnsi="Roboto" w:cs="Calibri"/>
          <w:color w:val="404040" w:themeColor="text1" w:themeTint="BF"/>
          <w:sz w:val="21"/>
          <w:szCs w:val="21"/>
          <w:lang w:val="en-GB"/>
        </w:rPr>
        <w:t xml:space="preserve"> to address violent forms of extremism</w:t>
      </w:r>
      <w:r w:rsidRPr="00012B18">
        <w:rPr>
          <w:rFonts w:ascii="Roboto" w:hAnsi="Roboto" w:cs="Calibri"/>
          <w:color w:val="404040" w:themeColor="text1" w:themeTint="BF"/>
          <w:sz w:val="21"/>
          <w:szCs w:val="21"/>
          <w:lang w:val="en-GB"/>
        </w:rPr>
        <w:t>, has</w:t>
      </w:r>
      <w:r w:rsidR="00F967E9">
        <w:rPr>
          <w:rFonts w:ascii="Roboto" w:hAnsi="Roboto" w:cs="Calibri"/>
          <w:color w:val="404040" w:themeColor="text1" w:themeTint="BF"/>
          <w:sz w:val="21"/>
          <w:szCs w:val="21"/>
          <w:lang w:val="en-GB"/>
        </w:rPr>
        <w:t xml:space="preserve"> the</w:t>
      </w:r>
      <w:r w:rsidRPr="00012B18">
        <w:rPr>
          <w:rFonts w:ascii="Roboto" w:hAnsi="Roboto" w:cs="Calibri"/>
          <w:color w:val="404040" w:themeColor="text1" w:themeTint="BF"/>
          <w:sz w:val="21"/>
          <w:szCs w:val="21"/>
          <w:lang w:val="en-GB"/>
        </w:rPr>
        <w:t xml:space="preserve"> potential </w:t>
      </w:r>
      <w:r w:rsidR="00F967E9">
        <w:rPr>
          <w:rFonts w:ascii="Roboto" w:hAnsi="Roboto" w:cs="Calibri"/>
          <w:color w:val="404040" w:themeColor="text1" w:themeTint="BF"/>
          <w:sz w:val="21"/>
          <w:szCs w:val="21"/>
          <w:lang w:val="en-GB"/>
        </w:rPr>
        <w:t xml:space="preserve">to </w:t>
      </w:r>
      <w:r w:rsidRPr="00012B18">
        <w:rPr>
          <w:rFonts w:ascii="Roboto" w:hAnsi="Roboto" w:cs="Calibri"/>
          <w:color w:val="404040" w:themeColor="text1" w:themeTint="BF"/>
          <w:sz w:val="21"/>
          <w:szCs w:val="21"/>
          <w:lang w:val="en-GB"/>
        </w:rPr>
        <w:t>negative</w:t>
      </w:r>
      <w:r w:rsidR="00F967E9">
        <w:rPr>
          <w:rFonts w:ascii="Roboto" w:hAnsi="Roboto" w:cs="Calibri"/>
          <w:color w:val="404040" w:themeColor="text1" w:themeTint="BF"/>
          <w:sz w:val="21"/>
          <w:szCs w:val="21"/>
          <w:lang w:val="en-GB"/>
        </w:rPr>
        <w:t>ly</w:t>
      </w:r>
      <w:r w:rsidRPr="00012B18">
        <w:rPr>
          <w:rFonts w:ascii="Roboto" w:hAnsi="Roboto" w:cs="Calibri"/>
          <w:color w:val="404040" w:themeColor="text1" w:themeTint="BF"/>
          <w:sz w:val="21"/>
          <w:szCs w:val="21"/>
          <w:lang w:val="en-GB"/>
        </w:rPr>
        <w:t xml:space="preserve"> impact social and economic reforms, citizens’ expectations towards employment (particularly among youth), expectations on public participation, and the potential polarization </w:t>
      </w:r>
      <w:r w:rsidR="00ED71F8">
        <w:rPr>
          <w:rFonts w:ascii="Roboto" w:hAnsi="Roboto" w:cs="Calibri"/>
          <w:color w:val="404040" w:themeColor="text1" w:themeTint="BF"/>
          <w:sz w:val="21"/>
          <w:szCs w:val="21"/>
          <w:lang w:val="en-GB"/>
        </w:rPr>
        <w:t xml:space="preserve">due to changing cultural and social norms. </w:t>
      </w:r>
      <w:r w:rsidRPr="00012B18">
        <w:rPr>
          <w:rFonts w:ascii="Roboto" w:hAnsi="Roboto" w:cs="Calibri"/>
          <w:color w:val="404040" w:themeColor="text1" w:themeTint="BF"/>
          <w:sz w:val="21"/>
          <w:szCs w:val="21"/>
          <w:lang w:val="en-GB"/>
        </w:rPr>
        <w:t xml:space="preserve"> Demographic shifts and urbanization trends </w:t>
      </w:r>
      <w:r w:rsidR="00ED71F8">
        <w:rPr>
          <w:rFonts w:ascii="Roboto" w:hAnsi="Roboto" w:cs="Calibri"/>
          <w:color w:val="404040" w:themeColor="text1" w:themeTint="BF"/>
          <w:sz w:val="21"/>
          <w:szCs w:val="21"/>
          <w:lang w:val="en-GB"/>
        </w:rPr>
        <w:t xml:space="preserve">may add additional layers of complexity. </w:t>
      </w:r>
    </w:p>
    <w:p w14:paraId="5007927E" w14:textId="7D5289DF" w:rsidR="00082BE4" w:rsidRPr="00012B18" w:rsidRDefault="00082BE4" w:rsidP="00240413">
      <w:pPr>
        <w:jc w:val="both"/>
        <w:rPr>
          <w:rFonts w:ascii="Roboto" w:hAnsi="Roboto"/>
          <w:color w:val="404040" w:themeColor="text1" w:themeTint="BF"/>
          <w:sz w:val="21"/>
          <w:szCs w:val="21"/>
          <w:lang w:val="en-GB"/>
        </w:rPr>
      </w:pPr>
      <w:r w:rsidRPr="00012B18">
        <w:rPr>
          <w:rFonts w:ascii="Roboto" w:hAnsi="Roboto"/>
          <w:color w:val="404040" w:themeColor="text1" w:themeTint="BF"/>
          <w:sz w:val="21"/>
          <w:szCs w:val="21"/>
          <w:lang w:val="en-GB"/>
        </w:rPr>
        <w:t xml:space="preserve">Home to over 10 million migrant workers as of 2021, the KSA is the largest host of migrant workers in the region and the </w:t>
      </w:r>
      <w:proofErr w:type="gramStart"/>
      <w:r w:rsidR="00D80AFE" w:rsidRPr="00012B18">
        <w:rPr>
          <w:rFonts w:ascii="Roboto" w:hAnsi="Roboto"/>
          <w:color w:val="404040" w:themeColor="text1" w:themeTint="BF"/>
          <w:sz w:val="21"/>
          <w:szCs w:val="21"/>
          <w:lang w:val="en-GB"/>
        </w:rPr>
        <w:t>third</w:t>
      </w:r>
      <w:r w:rsidR="00D80AFE">
        <w:rPr>
          <w:rFonts w:ascii="Roboto" w:hAnsi="Roboto"/>
          <w:color w:val="404040" w:themeColor="text1" w:themeTint="BF"/>
          <w:sz w:val="21"/>
          <w:szCs w:val="21"/>
          <w:lang w:val="en-GB"/>
        </w:rPr>
        <w:t>-</w:t>
      </w:r>
      <w:r w:rsidRPr="00012B18">
        <w:rPr>
          <w:rFonts w:ascii="Roboto" w:hAnsi="Roboto"/>
          <w:color w:val="404040" w:themeColor="text1" w:themeTint="BF"/>
          <w:sz w:val="21"/>
          <w:szCs w:val="21"/>
          <w:lang w:val="en-GB"/>
        </w:rPr>
        <w:t>largest</w:t>
      </w:r>
      <w:proofErr w:type="gramEnd"/>
      <w:r w:rsidRPr="00012B18">
        <w:rPr>
          <w:rFonts w:ascii="Roboto" w:hAnsi="Roboto"/>
          <w:color w:val="404040" w:themeColor="text1" w:themeTint="BF"/>
          <w:sz w:val="21"/>
          <w:szCs w:val="21"/>
          <w:lang w:val="en-GB"/>
        </w:rPr>
        <w:t xml:space="preserve"> globally – over 70% of the KSA’s employed population is still non-Saudi.</w:t>
      </w:r>
      <w:r w:rsidRPr="00012B18">
        <w:rPr>
          <w:rFonts w:ascii="Roboto" w:hAnsi="Roboto"/>
          <w:color w:val="404040" w:themeColor="text1" w:themeTint="BF"/>
          <w:sz w:val="21"/>
          <w:szCs w:val="21"/>
          <w:vertAlign w:val="superscript"/>
          <w:lang w:val="en-GB"/>
        </w:rPr>
        <w:endnoteReference w:id="14"/>
      </w:r>
      <w:r w:rsidRPr="00012B18">
        <w:rPr>
          <w:rFonts w:ascii="Roboto" w:hAnsi="Roboto"/>
          <w:color w:val="404040" w:themeColor="text1" w:themeTint="BF"/>
          <w:sz w:val="21"/>
          <w:szCs w:val="21"/>
          <w:lang w:val="en-GB"/>
        </w:rPr>
        <w:t xml:space="preserve"> </w:t>
      </w:r>
      <w:r w:rsidR="00BD12B8" w:rsidRPr="00BD12B8">
        <w:rPr>
          <w:rFonts w:ascii="Roboto" w:hAnsi="Roboto"/>
          <w:color w:val="404040" w:themeColor="text1" w:themeTint="BF"/>
          <w:sz w:val="21"/>
          <w:szCs w:val="21"/>
          <w:lang w:val="en-GB"/>
        </w:rPr>
        <w:t xml:space="preserve">Given migrant workers' status as integral members of the Saudi economy, further reform opportunities exist in terms of economic and social inclusion and protection. Recently, the </w:t>
      </w:r>
      <w:r w:rsidR="007D1324">
        <w:rPr>
          <w:rFonts w:ascii="Roboto" w:hAnsi="Roboto"/>
          <w:color w:val="404040" w:themeColor="text1" w:themeTint="BF"/>
          <w:sz w:val="21"/>
          <w:szCs w:val="21"/>
          <w:lang w:val="en-GB"/>
        </w:rPr>
        <w:t>G</w:t>
      </w:r>
      <w:r w:rsidR="00BD12B8" w:rsidRPr="00BD12B8">
        <w:rPr>
          <w:rFonts w:ascii="Roboto" w:hAnsi="Roboto"/>
          <w:color w:val="404040" w:themeColor="text1" w:themeTint="BF"/>
          <w:sz w:val="21"/>
          <w:szCs w:val="21"/>
          <w:lang w:val="en-GB"/>
        </w:rPr>
        <w:t>overnment implemented significant reforms in the field of migrant labour rights.</w:t>
      </w:r>
      <w:r w:rsidRPr="00012B18">
        <w:rPr>
          <w:rFonts w:ascii="Roboto" w:hAnsi="Roboto"/>
          <w:color w:val="404040" w:themeColor="text1" w:themeTint="BF"/>
          <w:sz w:val="21"/>
          <w:szCs w:val="21"/>
          <w:vertAlign w:val="superscript"/>
          <w:lang w:val="en-GB"/>
        </w:rPr>
        <w:endnoteReference w:id="15"/>
      </w:r>
      <w:r w:rsidRPr="00012B18">
        <w:rPr>
          <w:rFonts w:ascii="Roboto" w:hAnsi="Roboto"/>
          <w:color w:val="404040" w:themeColor="text1" w:themeTint="BF"/>
          <w:sz w:val="21"/>
          <w:szCs w:val="21"/>
          <w:lang w:val="en-GB"/>
        </w:rPr>
        <w:t xml:space="preserve"> </w:t>
      </w:r>
    </w:p>
    <w:p w14:paraId="08427187" w14:textId="77777777" w:rsidR="00082BE4" w:rsidRPr="00012B18" w:rsidRDefault="00082BE4" w:rsidP="00082BE4">
      <w:pPr>
        <w:shd w:val="clear" w:color="auto" w:fill="FFFFFF"/>
        <w:ind w:right="30"/>
        <w:rPr>
          <w:rFonts w:ascii="Roboto" w:hAnsi="Roboto" w:cs="Segoe UI"/>
          <w:color w:val="404040" w:themeColor="text1" w:themeTint="BF"/>
          <w:sz w:val="21"/>
          <w:szCs w:val="21"/>
          <w:lang w:val="en-GB"/>
        </w:rPr>
      </w:pPr>
    </w:p>
    <w:p w14:paraId="6E120D4B" w14:textId="50239A83" w:rsidR="00082BE4" w:rsidRDefault="00082BE4" w:rsidP="00082BE4">
      <w:pPr>
        <w:spacing w:after="200"/>
        <w:jc w:val="both"/>
        <w:rPr>
          <w:rFonts w:ascii="Roboto" w:hAnsi="Roboto" w:cs="Calibri"/>
          <w:color w:val="404040" w:themeColor="text1" w:themeTint="BF"/>
          <w:sz w:val="21"/>
          <w:szCs w:val="21"/>
          <w:lang w:val="en-GB"/>
        </w:rPr>
      </w:pPr>
      <w:r w:rsidRPr="00012B18">
        <w:rPr>
          <w:rFonts w:ascii="Roboto" w:hAnsi="Roboto" w:cs="Calibri"/>
          <w:color w:val="404040" w:themeColor="text1" w:themeTint="BF"/>
          <w:sz w:val="21"/>
          <w:szCs w:val="21"/>
          <w:lang w:val="en-GB"/>
        </w:rPr>
        <w:t>The KSA’s commitment to human rights can be analysed with reference to the Universal Human Rights Index and the Danish Human Rights SDG – Human Rights Data Exporter.</w:t>
      </w:r>
      <w:r w:rsidRPr="00012B18">
        <w:rPr>
          <w:rFonts w:ascii="Roboto" w:hAnsi="Roboto" w:cs="Calibri"/>
          <w:color w:val="404040" w:themeColor="text1" w:themeTint="BF"/>
          <w:sz w:val="21"/>
          <w:szCs w:val="21"/>
          <w:vertAlign w:val="superscript"/>
          <w:lang w:val="en-GB"/>
        </w:rPr>
        <w:t xml:space="preserve"> </w:t>
      </w:r>
      <w:r w:rsidRPr="00012B18">
        <w:rPr>
          <w:rFonts w:ascii="Roboto" w:hAnsi="Roboto" w:cs="Calibri"/>
          <w:color w:val="404040" w:themeColor="text1" w:themeTint="BF"/>
          <w:sz w:val="21"/>
          <w:szCs w:val="21"/>
          <w:vertAlign w:val="superscript"/>
          <w:lang w:val="en-GB"/>
        </w:rPr>
        <w:endnoteReference w:id="16"/>
      </w:r>
      <w:r w:rsidRPr="00012B18">
        <w:rPr>
          <w:rFonts w:ascii="Roboto" w:hAnsi="Roboto" w:cs="Calibri"/>
          <w:color w:val="404040" w:themeColor="text1" w:themeTint="BF"/>
          <w:sz w:val="21"/>
          <w:szCs w:val="21"/>
          <w:lang w:val="en-GB"/>
        </w:rPr>
        <w:t xml:space="preserve"> While the former compiles all human rights observations and recommendations issued by treaty bodies, special procedures, and the Universal Periodic Review (UPR), the latter links these human rights observations and recommendations to the SDGs. According to these sources, since 2008, the KSA has been issued 870 human rights observations and recommendations, 460 of which have a direct link to an SDG. The distribution of these human rights cases by SDG implies a specific set of challenges that the KSA faces in pursuit of the </w:t>
      </w:r>
      <w:r w:rsidR="002704D0">
        <w:rPr>
          <w:rFonts w:ascii="Roboto" w:hAnsi="Roboto" w:cs="Calibri"/>
          <w:color w:val="404040" w:themeColor="text1" w:themeTint="BF"/>
          <w:sz w:val="21"/>
          <w:szCs w:val="21"/>
          <w:lang w:val="en-GB"/>
        </w:rPr>
        <w:t xml:space="preserve">UN’s </w:t>
      </w:r>
      <w:r w:rsidRPr="00012B18">
        <w:rPr>
          <w:rFonts w:ascii="Roboto" w:hAnsi="Roboto" w:cs="Calibri"/>
          <w:color w:val="404040" w:themeColor="text1" w:themeTint="BF"/>
          <w:sz w:val="21"/>
          <w:szCs w:val="21"/>
          <w:lang w:val="en-GB"/>
        </w:rPr>
        <w:t>2030 Agenda.</w:t>
      </w:r>
    </w:p>
    <w:tbl>
      <w:tblPr>
        <w:tblStyle w:val="TableGrid"/>
        <w:tblW w:w="92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9"/>
      </w:tblGrid>
      <w:tr w:rsidR="00082BE4" w:rsidRPr="00012B18" w14:paraId="7B1095F1" w14:textId="77777777" w:rsidTr="005A5556">
        <w:trPr>
          <w:trHeight w:val="236"/>
          <w:jc w:val="center"/>
        </w:trPr>
        <w:tc>
          <w:tcPr>
            <w:tcW w:w="9249" w:type="dxa"/>
          </w:tcPr>
          <w:p w14:paraId="4594DDDF" w14:textId="77777777" w:rsidR="00082BE4" w:rsidRPr="00012B18" w:rsidRDefault="00082BE4" w:rsidP="005A5556">
            <w:pPr>
              <w:spacing w:before="120" w:after="120"/>
              <w:ind w:left="144"/>
              <w:rPr>
                <w:rFonts w:ascii="Roboto" w:hAnsi="Roboto" w:cs="Calibri"/>
                <w:color w:val="404040" w:themeColor="text1" w:themeTint="BF"/>
                <w:sz w:val="21"/>
                <w:szCs w:val="21"/>
              </w:rPr>
            </w:pPr>
            <w:r w:rsidRPr="00F840F2">
              <w:rPr>
                <w:rFonts w:ascii="Roboto" w:hAnsi="Roboto" w:cs="Calibri"/>
                <w:b/>
                <w:bCs/>
                <w:color w:val="404040" w:themeColor="text1" w:themeTint="BF"/>
                <w:sz w:val="21"/>
                <w:szCs w:val="21"/>
              </w:rPr>
              <w:t>Figure 2.7 Distribution of Human Rights Observations and Recommendations by SDG</w:t>
            </w:r>
            <w:r w:rsidRPr="00012B18">
              <w:rPr>
                <w:rFonts w:ascii="Roboto" w:hAnsi="Roboto" w:cs="Calibri"/>
                <w:color w:val="404040" w:themeColor="text1" w:themeTint="BF"/>
                <w:sz w:val="21"/>
                <w:szCs w:val="21"/>
                <w:vertAlign w:val="superscript"/>
              </w:rPr>
              <w:endnoteReference w:id="17"/>
            </w:r>
          </w:p>
        </w:tc>
      </w:tr>
      <w:tr w:rsidR="00082BE4" w:rsidRPr="00012B18" w14:paraId="4BE88B61" w14:textId="77777777" w:rsidTr="005A5556">
        <w:trPr>
          <w:trHeight w:val="5084"/>
          <w:jc w:val="center"/>
        </w:trPr>
        <w:tc>
          <w:tcPr>
            <w:tcW w:w="9249" w:type="dxa"/>
          </w:tcPr>
          <w:p w14:paraId="465527E6" w14:textId="77777777" w:rsidR="00082BE4" w:rsidRPr="00012B18" w:rsidRDefault="00082BE4" w:rsidP="005A5556">
            <w:pPr>
              <w:rPr>
                <w:rFonts w:ascii="Roboto" w:hAnsi="Roboto" w:cs="Calibri"/>
                <w:color w:val="404040" w:themeColor="text1" w:themeTint="BF"/>
                <w:sz w:val="21"/>
                <w:szCs w:val="21"/>
              </w:rPr>
            </w:pPr>
            <w:r w:rsidRPr="00012B18">
              <w:rPr>
                <w:rFonts w:ascii="Roboto" w:hAnsi="Roboto"/>
                <w:noProof/>
                <w:color w:val="404040" w:themeColor="text1" w:themeTint="BF"/>
                <w:sz w:val="21"/>
                <w:szCs w:val="21"/>
              </w:rPr>
              <w:drawing>
                <wp:inline distT="0" distB="0" distL="0" distR="0" wp14:anchorId="2CCA657B" wp14:editId="7B4DFC33">
                  <wp:extent cx="5645150" cy="2971800"/>
                  <wp:effectExtent l="0" t="0" r="0" b="0"/>
                  <wp:docPr id="79" name="Chart 79">
                    <a:extLst xmlns:a="http://schemas.openxmlformats.org/drawingml/2006/main">
                      <a:ext uri="{FF2B5EF4-FFF2-40B4-BE49-F238E27FC236}">
                        <a16:creationId xmlns:a16="http://schemas.microsoft.com/office/drawing/2014/main" id="{6A015BB2-80E3-4544-927D-685065C8F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3337E680" w14:textId="788A3EEB" w:rsidR="00082BE4" w:rsidRDefault="00082BE4" w:rsidP="00082BE4">
      <w:pPr>
        <w:jc w:val="both"/>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F</w:t>
      </w:r>
      <w:r w:rsidRPr="00012B18">
        <w:rPr>
          <w:rFonts w:ascii="Roboto" w:hAnsi="Roboto" w:cs="Calibri"/>
          <w:color w:val="404040" w:themeColor="text1" w:themeTint="BF"/>
          <w:sz w:val="21"/>
          <w:szCs w:val="21"/>
          <w:lang w:val="en-GB"/>
        </w:rPr>
        <w:t xml:space="preserve">igure </w:t>
      </w:r>
      <w:r>
        <w:rPr>
          <w:rFonts w:ascii="Roboto" w:hAnsi="Roboto" w:cs="Calibri"/>
          <w:color w:val="404040" w:themeColor="text1" w:themeTint="BF"/>
          <w:sz w:val="21"/>
          <w:szCs w:val="21"/>
          <w:lang w:val="en-GB"/>
        </w:rPr>
        <w:t xml:space="preserve">2.7 </w:t>
      </w:r>
      <w:r w:rsidRPr="00012B18">
        <w:rPr>
          <w:rFonts w:ascii="Roboto" w:hAnsi="Roboto" w:cs="Calibri"/>
          <w:color w:val="404040" w:themeColor="text1" w:themeTint="BF"/>
          <w:sz w:val="21"/>
          <w:szCs w:val="21"/>
          <w:lang w:val="en-GB"/>
        </w:rPr>
        <w:t>above indicates that over one-third of the 460 human rights observations and recommendations in the KSA</w:t>
      </w:r>
      <w:r w:rsidRPr="00012B18">
        <w:rPr>
          <w:rFonts w:ascii="Roboto" w:hAnsi="Roboto" w:cs="Calibri"/>
          <w:color w:val="404040" w:themeColor="text1" w:themeTint="BF"/>
          <w:sz w:val="21"/>
          <w:szCs w:val="21"/>
          <w:vertAlign w:val="superscript"/>
          <w:lang w:val="en-GB"/>
        </w:rPr>
        <w:endnoteReference w:id="18"/>
      </w:r>
      <w:r w:rsidRPr="00012B18">
        <w:rPr>
          <w:rFonts w:ascii="Roboto" w:hAnsi="Roboto" w:cs="Calibri"/>
          <w:color w:val="404040" w:themeColor="text1" w:themeTint="BF"/>
          <w:sz w:val="21"/>
          <w:szCs w:val="21"/>
          <w:lang w:val="en-GB"/>
        </w:rPr>
        <w:t xml:space="preserve"> with SDG links are associated with SDG 16: Peace, Justice, and Strong Institutions. Given SDG 16’s pervasive and salient links to the KSA’s human rights observations and recommendations over the past thirteen years, it suggests particular attention.</w:t>
      </w:r>
    </w:p>
    <w:p w14:paraId="4130CED8" w14:textId="77777777" w:rsidR="009F5BA8" w:rsidRDefault="009F5BA8" w:rsidP="009F5BA8">
      <w:pPr>
        <w:jc w:val="both"/>
        <w:rPr>
          <w:rFonts w:ascii="Roboto" w:hAnsi="Roboto" w:cs="Calibri"/>
          <w:b/>
          <w:color w:val="404040" w:themeColor="text1" w:themeTint="BF"/>
          <w:sz w:val="21"/>
          <w:szCs w:val="21"/>
          <w:lang w:val="en-GB"/>
        </w:rPr>
      </w:pPr>
    </w:p>
    <w:p w14:paraId="2E5E6A52" w14:textId="77777777" w:rsidR="00F53DD3" w:rsidRPr="00012B18" w:rsidRDefault="00F53DD3" w:rsidP="00F840F2">
      <w:pPr>
        <w:shd w:val="clear" w:color="auto" w:fill="FFFFFF"/>
        <w:ind w:right="30"/>
        <w:jc w:val="both"/>
        <w:rPr>
          <w:rFonts w:ascii="Roboto" w:hAnsi="Roboto" w:cs="Calibri"/>
          <w:color w:val="404040" w:themeColor="text1" w:themeTint="BF"/>
          <w:sz w:val="21"/>
          <w:szCs w:val="21"/>
          <w:lang w:val="en-GB"/>
        </w:rPr>
      </w:pPr>
    </w:p>
    <w:p w14:paraId="02928350" w14:textId="046C7D21" w:rsidR="00082BE4" w:rsidRDefault="00082BE4" w:rsidP="00082BE4">
      <w:pPr>
        <w:jc w:val="both"/>
        <w:rPr>
          <w:rFonts w:ascii="Roboto" w:hAnsi="Roboto" w:cs="Calibri"/>
          <w:b/>
          <w:color w:val="404040" w:themeColor="text1" w:themeTint="BF"/>
          <w:sz w:val="21"/>
          <w:szCs w:val="21"/>
          <w:lang w:val="en-GB"/>
        </w:rPr>
      </w:pPr>
    </w:p>
    <w:p w14:paraId="51090EEA" w14:textId="77777777" w:rsidR="003631BB" w:rsidRDefault="003631BB" w:rsidP="00082BE4">
      <w:pPr>
        <w:jc w:val="both"/>
        <w:rPr>
          <w:rFonts w:ascii="Roboto" w:hAnsi="Roboto" w:cs="Calibri"/>
          <w:b/>
          <w:color w:val="404040" w:themeColor="text1" w:themeTint="BF"/>
          <w:sz w:val="21"/>
          <w:szCs w:val="21"/>
          <w:lang w:val="en-GB"/>
        </w:rPr>
      </w:pPr>
    </w:p>
    <w:p w14:paraId="7D154A04" w14:textId="77777777" w:rsidR="00F12164" w:rsidRDefault="00F12164" w:rsidP="00082BE4">
      <w:pPr>
        <w:jc w:val="both"/>
        <w:rPr>
          <w:rFonts w:ascii="Roboto" w:hAnsi="Roboto" w:cs="Calibri"/>
          <w:b/>
          <w:color w:val="404040" w:themeColor="text1" w:themeTint="BF"/>
          <w:sz w:val="21"/>
          <w:szCs w:val="21"/>
          <w:lang w:val="en-GB"/>
        </w:rPr>
      </w:pPr>
    </w:p>
    <w:p w14:paraId="07F6C1F6" w14:textId="77777777" w:rsidR="00082BE4" w:rsidRPr="00012B18" w:rsidRDefault="00082BE4" w:rsidP="00082BE4">
      <w:pPr>
        <w:rPr>
          <w:rFonts w:ascii="Roboto" w:hAnsi="Roboto" w:cs="Calibri"/>
          <w:b/>
          <w:color w:val="404040" w:themeColor="text1" w:themeTint="BF"/>
          <w:sz w:val="21"/>
          <w:szCs w:val="21"/>
          <w:lang w:val="en-GB"/>
        </w:rPr>
      </w:pPr>
    </w:p>
    <w:p w14:paraId="207BA6CD" w14:textId="77777777" w:rsidR="00082BE4" w:rsidRPr="00012B18" w:rsidRDefault="00082BE4" w:rsidP="00082BE4">
      <w:pPr>
        <w:spacing w:after="200"/>
        <w:jc w:val="both"/>
        <w:rPr>
          <w:rFonts w:ascii="Roboto" w:hAnsi="Roboto" w:cs="Calibri"/>
          <w:b/>
          <w:color w:val="404040" w:themeColor="text1" w:themeTint="BF"/>
          <w:sz w:val="21"/>
          <w:szCs w:val="21"/>
          <w:lang w:val="en-GB"/>
        </w:rPr>
      </w:pPr>
      <w:r w:rsidRPr="00012B18">
        <w:rPr>
          <w:rFonts w:ascii="Roboto" w:hAnsi="Roboto" w:cs="Calibri"/>
          <w:b/>
          <w:color w:val="404040" w:themeColor="text1" w:themeTint="BF"/>
          <w:sz w:val="21"/>
          <w:szCs w:val="21"/>
          <w:lang w:val="en-GB"/>
        </w:rPr>
        <w:lastRenderedPageBreak/>
        <w:t xml:space="preserve">Goal 17: Forging Inclusive and Sustainable Partnerships </w:t>
      </w:r>
    </w:p>
    <w:p w14:paraId="42BAD54C" w14:textId="2EAD6538" w:rsidR="00082BE4" w:rsidRPr="00012B18" w:rsidRDefault="00082BE4" w:rsidP="00082BE4">
      <w:pPr>
        <w:jc w:val="both"/>
        <w:rPr>
          <w:rFonts w:ascii="Roboto" w:hAnsi="Roboto" w:cs="Calibri"/>
          <w:color w:val="404040" w:themeColor="text1" w:themeTint="BF"/>
          <w:sz w:val="21"/>
          <w:szCs w:val="21"/>
          <w:lang w:val="en-GB"/>
        </w:rPr>
      </w:pPr>
      <w:r w:rsidRPr="00012B18">
        <w:rPr>
          <w:rFonts w:ascii="Roboto" w:hAnsi="Roboto" w:cs="Calibri"/>
          <w:color w:val="404040" w:themeColor="text1" w:themeTint="BF"/>
          <w:sz w:val="21"/>
          <w:szCs w:val="21"/>
          <w:lang w:val="en-GB"/>
        </w:rPr>
        <w:t>As the KSA and the UN work towards the achievement of the SDGs at the heart of the UN</w:t>
      </w:r>
      <w:r w:rsidR="002704D0">
        <w:rPr>
          <w:rFonts w:ascii="Roboto" w:hAnsi="Roboto" w:cs="Calibri"/>
          <w:color w:val="404040" w:themeColor="text1" w:themeTint="BF"/>
          <w:sz w:val="21"/>
          <w:szCs w:val="21"/>
          <w:lang w:val="en-GB"/>
        </w:rPr>
        <w:t>’s</w:t>
      </w:r>
      <w:r w:rsidRPr="00012B18">
        <w:rPr>
          <w:rFonts w:ascii="Roboto" w:hAnsi="Roboto" w:cs="Calibri"/>
          <w:color w:val="404040" w:themeColor="text1" w:themeTint="BF"/>
          <w:sz w:val="21"/>
          <w:szCs w:val="21"/>
          <w:lang w:val="en-GB"/>
        </w:rPr>
        <w:t xml:space="preserve"> 2030 Agenda and KSA’s Vision 2030, Partnerships for the Goals, SDG 17, becomes operationally central. The promotion of multi-stakeholder partnerships between government and non-government actors is crucial to the shared mission of the UN and the KSA. The diverse and complex challenges facing both the KSA, and the entire world, will be more easily met and overcome through sustainable national partnerships that promote capacity building, provide access to new technologies and knowledge, and innovate to improve existing development policies. </w:t>
      </w:r>
      <w:r w:rsidRPr="00012B18">
        <w:rPr>
          <w:rFonts w:ascii="Roboto" w:hAnsi="Roboto"/>
          <w:color w:val="404040" w:themeColor="text1" w:themeTint="BF"/>
          <w:sz w:val="21"/>
          <w:szCs w:val="21"/>
          <w:lang w:val="en-GB"/>
        </w:rPr>
        <w:t xml:space="preserve">The KSA’s close connection with the international community also provides an opportunity for the Government to forge deeper global partnerships. </w:t>
      </w:r>
      <w:r w:rsidR="00326AE4">
        <w:rPr>
          <w:rFonts w:ascii="Roboto" w:hAnsi="Roboto" w:cs="Calibri"/>
          <w:color w:val="404040" w:themeColor="text1" w:themeTint="BF"/>
          <w:sz w:val="21"/>
          <w:szCs w:val="21"/>
          <w:lang w:val="en-GB"/>
        </w:rPr>
        <w:t xml:space="preserve">If we do not tap </w:t>
      </w:r>
      <w:r w:rsidRPr="00012B18">
        <w:rPr>
          <w:rFonts w:ascii="Roboto" w:hAnsi="Roboto" w:cs="Calibri"/>
          <w:color w:val="404040" w:themeColor="text1" w:themeTint="BF"/>
          <w:sz w:val="21"/>
          <w:szCs w:val="21"/>
          <w:lang w:val="en-GB"/>
        </w:rPr>
        <w:t xml:space="preserve">into the vast reservoirs of shared knowledge held by different societal actors at home and abroad, </w:t>
      </w:r>
      <w:r w:rsidR="00B62C1B">
        <w:rPr>
          <w:rFonts w:ascii="Roboto" w:hAnsi="Roboto" w:cs="Calibri"/>
          <w:color w:val="404040" w:themeColor="text1" w:themeTint="BF"/>
          <w:sz w:val="21"/>
          <w:szCs w:val="21"/>
          <w:lang w:val="en-GB"/>
        </w:rPr>
        <w:t xml:space="preserve">then </w:t>
      </w:r>
      <w:r w:rsidRPr="00012B18">
        <w:rPr>
          <w:rFonts w:ascii="Roboto" w:hAnsi="Roboto" w:cs="Calibri"/>
          <w:color w:val="404040" w:themeColor="text1" w:themeTint="BF"/>
          <w:sz w:val="21"/>
          <w:szCs w:val="21"/>
          <w:lang w:val="en-GB"/>
        </w:rPr>
        <w:t>the path to sustainable growth and development will be more challenging.</w:t>
      </w:r>
    </w:p>
    <w:p w14:paraId="1495A1C0" w14:textId="77777777" w:rsidR="00082BE4" w:rsidRPr="00012B18" w:rsidRDefault="00082BE4" w:rsidP="00082BE4">
      <w:pPr>
        <w:jc w:val="both"/>
        <w:rPr>
          <w:rFonts w:ascii="Roboto" w:hAnsi="Roboto" w:cs="Calibri"/>
          <w:color w:val="404040" w:themeColor="text1" w:themeTint="BF"/>
          <w:sz w:val="21"/>
          <w:szCs w:val="21"/>
          <w:lang w:val="en-GB"/>
        </w:rPr>
      </w:pPr>
    </w:p>
    <w:p w14:paraId="4B6AEDC2" w14:textId="2851B10E" w:rsidR="00082BE4" w:rsidRPr="00012B18" w:rsidRDefault="00082BE4" w:rsidP="00082BE4">
      <w:pPr>
        <w:jc w:val="both"/>
        <w:rPr>
          <w:rFonts w:ascii="Roboto" w:hAnsi="Roboto"/>
          <w:color w:val="404040" w:themeColor="text1" w:themeTint="BF"/>
          <w:sz w:val="21"/>
          <w:szCs w:val="21"/>
          <w:lang w:val="en-GB"/>
        </w:rPr>
      </w:pPr>
      <w:r w:rsidRPr="00012B18">
        <w:rPr>
          <w:rFonts w:ascii="Roboto" w:hAnsi="Roboto"/>
          <w:color w:val="404040" w:themeColor="text1" w:themeTint="BF"/>
          <w:sz w:val="21"/>
          <w:szCs w:val="21"/>
          <w:lang w:val="en-GB"/>
        </w:rPr>
        <w:t>Working towards the achievement of SDG 17 and its targets, the UN</w:t>
      </w:r>
      <w:r w:rsidR="0015716C">
        <w:rPr>
          <w:rFonts w:ascii="Roboto" w:hAnsi="Roboto"/>
          <w:color w:val="404040" w:themeColor="text1" w:themeTint="BF"/>
          <w:sz w:val="21"/>
          <w:szCs w:val="21"/>
          <w:lang w:val="en-GB"/>
        </w:rPr>
        <w:t xml:space="preserve"> and</w:t>
      </w:r>
      <w:r w:rsidRPr="00012B18">
        <w:rPr>
          <w:rFonts w:ascii="Roboto" w:hAnsi="Roboto"/>
          <w:color w:val="404040" w:themeColor="text1" w:themeTint="BF"/>
          <w:sz w:val="21"/>
          <w:szCs w:val="21"/>
          <w:lang w:val="en-GB"/>
        </w:rPr>
        <w:t xml:space="preserve"> the KSA can contribute to enhancing international support for implementing targeted and effective capacity-building in developing countries to support national plans to implement all the SDGs, including through North-South, South-South, and triangular cooperation.</w:t>
      </w:r>
    </w:p>
    <w:p w14:paraId="60300F5B" w14:textId="77777777" w:rsidR="00082BE4" w:rsidRPr="00012B18" w:rsidRDefault="00082BE4" w:rsidP="00082BE4">
      <w:pPr>
        <w:jc w:val="both"/>
        <w:rPr>
          <w:rFonts w:ascii="Roboto" w:hAnsi="Roboto"/>
          <w:color w:val="404040" w:themeColor="text1" w:themeTint="BF"/>
          <w:sz w:val="21"/>
          <w:szCs w:val="21"/>
          <w:lang w:val="en-GB"/>
        </w:rPr>
      </w:pPr>
      <w:r w:rsidRPr="00012B18">
        <w:rPr>
          <w:rFonts w:ascii="Roboto" w:hAnsi="Roboto" w:cs="Calibri"/>
          <w:color w:val="404040" w:themeColor="text1" w:themeTint="BF"/>
          <w:sz w:val="21"/>
          <w:szCs w:val="21"/>
          <w:lang w:val="en-GB"/>
        </w:rPr>
        <w:t> </w:t>
      </w:r>
    </w:p>
    <w:p w14:paraId="22F9995B" w14:textId="1AC34623" w:rsidR="00082BE4" w:rsidRPr="00012B18" w:rsidRDefault="00082BE4" w:rsidP="00082BE4">
      <w:pPr>
        <w:jc w:val="both"/>
        <w:rPr>
          <w:rFonts w:ascii="Roboto" w:hAnsi="Roboto" w:cs="Calibri"/>
          <w:b/>
          <w:bCs/>
          <w:color w:val="404040" w:themeColor="text1" w:themeTint="BF"/>
          <w:sz w:val="21"/>
          <w:szCs w:val="21"/>
          <w:lang w:val="en-GB"/>
        </w:rPr>
      </w:pPr>
      <w:r w:rsidRPr="00012B18">
        <w:rPr>
          <w:rFonts w:ascii="Roboto" w:hAnsi="Roboto" w:cs="Calibri"/>
          <w:color w:val="404040" w:themeColor="text1" w:themeTint="BF"/>
          <w:sz w:val="21"/>
          <w:szCs w:val="21"/>
          <w:lang w:val="en-GB"/>
        </w:rPr>
        <w:t xml:space="preserve">The UN Partnerships Working Group has shaped a more coordinated and coherent approach to partnerships, which has been taken up by the UNSDCF. It has laid the groundwork for establishing stronger overall engagement with local networks towards the implementation of the </w:t>
      </w:r>
      <w:r w:rsidR="002704D0">
        <w:rPr>
          <w:rFonts w:ascii="Roboto" w:hAnsi="Roboto" w:cs="Calibri"/>
          <w:color w:val="404040" w:themeColor="text1" w:themeTint="BF"/>
          <w:sz w:val="21"/>
          <w:szCs w:val="21"/>
          <w:lang w:val="en-GB"/>
        </w:rPr>
        <w:t xml:space="preserve">UN’s </w:t>
      </w:r>
      <w:r w:rsidRPr="00012B18">
        <w:rPr>
          <w:rFonts w:ascii="Roboto" w:hAnsi="Roboto" w:cs="Calibri"/>
          <w:color w:val="404040" w:themeColor="text1" w:themeTint="BF"/>
          <w:sz w:val="21"/>
          <w:szCs w:val="21"/>
          <w:lang w:val="en-GB"/>
        </w:rPr>
        <w:t xml:space="preserve">2030 Agenda’s SDGs and the achievement of </w:t>
      </w:r>
      <w:r w:rsidR="00E719CA">
        <w:rPr>
          <w:rFonts w:ascii="Roboto" w:hAnsi="Roboto" w:cs="Calibri"/>
          <w:color w:val="404040" w:themeColor="text1" w:themeTint="BF"/>
          <w:sz w:val="21"/>
          <w:szCs w:val="21"/>
          <w:lang w:val="en-GB"/>
        </w:rPr>
        <w:t xml:space="preserve">the KSA’s </w:t>
      </w:r>
      <w:r w:rsidRPr="00012B18">
        <w:rPr>
          <w:rFonts w:ascii="Roboto" w:hAnsi="Roboto" w:cs="Calibri"/>
          <w:color w:val="404040" w:themeColor="text1" w:themeTint="BF"/>
          <w:sz w:val="21"/>
          <w:szCs w:val="21"/>
          <w:lang w:val="en-GB"/>
        </w:rPr>
        <w:t xml:space="preserve">Vision 2030. </w:t>
      </w:r>
      <w:r w:rsidR="00150372">
        <w:rPr>
          <w:rFonts w:ascii="Roboto" w:hAnsi="Roboto" w:cs="Calibri"/>
          <w:color w:val="404040" w:themeColor="text1" w:themeTint="BF"/>
          <w:sz w:val="21"/>
          <w:szCs w:val="21"/>
          <w:lang w:val="en-GB"/>
        </w:rPr>
        <w:t>T</w:t>
      </w:r>
      <w:r w:rsidRPr="00012B18">
        <w:rPr>
          <w:rFonts w:ascii="Roboto" w:hAnsi="Roboto" w:cs="Calibri"/>
          <w:color w:val="404040" w:themeColor="text1" w:themeTint="BF"/>
          <w:sz w:val="21"/>
          <w:szCs w:val="21"/>
          <w:lang w:val="en-GB"/>
        </w:rPr>
        <w:t xml:space="preserve">he UN has </w:t>
      </w:r>
      <w:r w:rsidR="00150372">
        <w:rPr>
          <w:rFonts w:ascii="Roboto" w:hAnsi="Roboto" w:cs="Calibri"/>
          <w:color w:val="404040" w:themeColor="text1" w:themeTint="BF"/>
          <w:sz w:val="21"/>
          <w:szCs w:val="21"/>
          <w:lang w:val="en-GB"/>
        </w:rPr>
        <w:t xml:space="preserve">worked towards institutionalizing </w:t>
      </w:r>
      <w:r w:rsidRPr="00012B18">
        <w:rPr>
          <w:rFonts w:ascii="Roboto" w:hAnsi="Roboto" w:cs="Calibri"/>
          <w:color w:val="404040" w:themeColor="text1" w:themeTint="BF"/>
          <w:sz w:val="21"/>
          <w:szCs w:val="21"/>
          <w:lang w:val="en-GB"/>
        </w:rPr>
        <w:t>a progressive approach to partnerships in the KSA</w:t>
      </w:r>
      <w:r w:rsidR="00470709">
        <w:rPr>
          <w:rFonts w:ascii="Roboto" w:hAnsi="Roboto" w:cs="Calibri"/>
          <w:color w:val="404040" w:themeColor="text1" w:themeTint="BF"/>
          <w:sz w:val="21"/>
          <w:szCs w:val="21"/>
          <w:lang w:val="en-GB"/>
        </w:rPr>
        <w:t>,</w:t>
      </w:r>
      <w:r w:rsidR="005902BE">
        <w:rPr>
          <w:rFonts w:ascii="Roboto" w:hAnsi="Roboto" w:cs="Calibri"/>
          <w:color w:val="404040" w:themeColor="text1" w:themeTint="BF"/>
          <w:sz w:val="21"/>
          <w:szCs w:val="21"/>
          <w:lang w:val="en-GB"/>
        </w:rPr>
        <w:t xml:space="preserve"> reaching out </w:t>
      </w:r>
      <w:r w:rsidR="00507607">
        <w:rPr>
          <w:rFonts w:ascii="Roboto" w:hAnsi="Roboto" w:cs="Calibri"/>
          <w:color w:val="404040" w:themeColor="text1" w:themeTint="BF"/>
          <w:sz w:val="21"/>
          <w:szCs w:val="21"/>
          <w:lang w:val="en-GB"/>
        </w:rPr>
        <w:t>to</w:t>
      </w:r>
      <w:r w:rsidR="005902BE">
        <w:rPr>
          <w:rFonts w:ascii="Roboto" w:hAnsi="Roboto" w:cs="Calibri"/>
          <w:color w:val="404040" w:themeColor="text1" w:themeTint="BF"/>
          <w:sz w:val="21"/>
          <w:szCs w:val="21"/>
          <w:lang w:val="en-GB"/>
        </w:rPr>
        <w:t xml:space="preserve"> the private sector, civil society</w:t>
      </w:r>
      <w:r w:rsidR="00470709">
        <w:rPr>
          <w:rFonts w:ascii="Roboto" w:hAnsi="Roboto" w:cs="Calibri"/>
          <w:color w:val="404040" w:themeColor="text1" w:themeTint="BF"/>
          <w:sz w:val="21"/>
          <w:szCs w:val="21"/>
          <w:lang w:val="en-GB"/>
        </w:rPr>
        <w:t>,</w:t>
      </w:r>
      <w:r w:rsidR="005902BE">
        <w:rPr>
          <w:rFonts w:ascii="Roboto" w:hAnsi="Roboto" w:cs="Calibri"/>
          <w:color w:val="404040" w:themeColor="text1" w:themeTint="BF"/>
          <w:sz w:val="21"/>
          <w:szCs w:val="21"/>
          <w:lang w:val="en-GB"/>
        </w:rPr>
        <w:t xml:space="preserve"> and academia. S</w:t>
      </w:r>
      <w:r w:rsidR="00150372">
        <w:rPr>
          <w:rFonts w:ascii="Roboto" w:hAnsi="Roboto" w:cs="Calibri"/>
          <w:color w:val="404040" w:themeColor="text1" w:themeTint="BF"/>
          <w:sz w:val="21"/>
          <w:szCs w:val="21"/>
          <w:lang w:val="en-GB"/>
        </w:rPr>
        <w:t xml:space="preserve">ome notable examples </w:t>
      </w:r>
      <w:proofErr w:type="gramStart"/>
      <w:r w:rsidR="00150372">
        <w:rPr>
          <w:rFonts w:ascii="Roboto" w:hAnsi="Roboto" w:cs="Calibri"/>
          <w:color w:val="404040" w:themeColor="text1" w:themeTint="BF"/>
          <w:sz w:val="21"/>
          <w:szCs w:val="21"/>
          <w:lang w:val="en-GB"/>
        </w:rPr>
        <w:t>include:</w:t>
      </w:r>
      <w:proofErr w:type="gramEnd"/>
      <w:r w:rsidRPr="00012B18">
        <w:rPr>
          <w:rFonts w:ascii="Roboto" w:hAnsi="Roboto" w:cs="Calibri"/>
          <w:color w:val="404040" w:themeColor="text1" w:themeTint="BF"/>
          <w:sz w:val="21"/>
          <w:szCs w:val="21"/>
          <w:lang w:val="en-GB"/>
        </w:rPr>
        <w:t xml:space="preserve"> partnership surveys, the establishment of the UN Local Network of the Global Compact in the KSA, and the research paper ‘The Role of Awqaf in Achieving the SDGs and Vision 2030 in KSA’</w:t>
      </w:r>
      <w:r w:rsidRPr="00012B18">
        <w:rPr>
          <w:rFonts w:ascii="Roboto" w:hAnsi="Roboto" w:cs="Calibri"/>
          <w:color w:val="404040" w:themeColor="text1" w:themeTint="BF"/>
          <w:sz w:val="21"/>
          <w:szCs w:val="21"/>
          <w:vertAlign w:val="superscript"/>
          <w:lang w:val="en-GB"/>
        </w:rPr>
        <w:endnoteReference w:id="19"/>
      </w:r>
      <w:r w:rsidRPr="00012B18">
        <w:rPr>
          <w:rFonts w:ascii="Roboto" w:hAnsi="Roboto" w:cs="Calibri"/>
          <w:color w:val="404040" w:themeColor="text1" w:themeTint="BF"/>
          <w:sz w:val="21"/>
          <w:szCs w:val="21"/>
          <w:lang w:val="en-GB"/>
        </w:rPr>
        <w:t>)</w:t>
      </w:r>
      <w:r w:rsidR="00CF725E">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 xml:space="preserve"> </w:t>
      </w:r>
      <w:r w:rsidR="00CF725E">
        <w:rPr>
          <w:rFonts w:ascii="Roboto" w:hAnsi="Roboto" w:cs="Calibri"/>
          <w:color w:val="404040" w:themeColor="text1" w:themeTint="BF"/>
          <w:sz w:val="21"/>
          <w:szCs w:val="21"/>
          <w:lang w:val="en-GB"/>
        </w:rPr>
        <w:t xml:space="preserve">Moving forward, </w:t>
      </w:r>
      <w:r w:rsidRPr="00012B18">
        <w:rPr>
          <w:rFonts w:ascii="Roboto" w:hAnsi="Roboto" w:cs="Calibri"/>
          <w:color w:val="404040" w:themeColor="text1" w:themeTint="BF"/>
          <w:sz w:val="21"/>
          <w:szCs w:val="21"/>
          <w:lang w:val="en-GB"/>
        </w:rPr>
        <w:t>the UN is exploring further opportunities and modalities to accelerate progress in this domain.</w:t>
      </w:r>
      <w:r w:rsidR="005902BE">
        <w:rPr>
          <w:rFonts w:ascii="Roboto" w:hAnsi="Roboto" w:cs="Calibri"/>
          <w:color w:val="404040" w:themeColor="text1" w:themeTint="BF"/>
          <w:sz w:val="21"/>
          <w:szCs w:val="21"/>
          <w:lang w:val="en-GB"/>
        </w:rPr>
        <w:t xml:space="preserve"> </w:t>
      </w:r>
      <w:r w:rsidR="00CF725E">
        <w:rPr>
          <w:rFonts w:ascii="Roboto" w:hAnsi="Roboto" w:cs="Calibri"/>
          <w:color w:val="404040" w:themeColor="text1" w:themeTint="BF"/>
          <w:sz w:val="21"/>
          <w:szCs w:val="21"/>
          <w:lang w:val="en-GB"/>
        </w:rPr>
        <w:t>Achieving the SDGs is</w:t>
      </w:r>
      <w:r w:rsidRPr="00012B18">
        <w:rPr>
          <w:rFonts w:ascii="Roboto" w:hAnsi="Roboto" w:cs="Calibri"/>
          <w:color w:val="404040" w:themeColor="text1" w:themeTint="BF"/>
          <w:sz w:val="21"/>
          <w:szCs w:val="21"/>
          <w:lang w:val="en-GB"/>
        </w:rPr>
        <w:t xml:space="preserve"> a collective responsibility that lies with all actors and stakeholders</w:t>
      </w:r>
      <w:r w:rsidR="00CF725E">
        <w:rPr>
          <w:rFonts w:ascii="Roboto" w:hAnsi="Roboto" w:cs="Calibri"/>
          <w:color w:val="404040" w:themeColor="text1" w:themeTint="BF"/>
          <w:sz w:val="21"/>
          <w:szCs w:val="21"/>
          <w:lang w:val="en-GB"/>
        </w:rPr>
        <w:t xml:space="preserve"> – it extends beyond the Government</w:t>
      </w:r>
      <w:r w:rsidR="00176E14">
        <w:rPr>
          <w:rFonts w:ascii="Roboto" w:hAnsi="Roboto" w:cs="Calibri"/>
          <w:color w:val="404040" w:themeColor="text1" w:themeTint="BF"/>
          <w:sz w:val="21"/>
          <w:szCs w:val="21"/>
          <w:lang w:val="en-GB"/>
        </w:rPr>
        <w:t>,</w:t>
      </w:r>
      <w:r w:rsidR="00CF725E">
        <w:rPr>
          <w:rFonts w:ascii="Roboto" w:hAnsi="Roboto" w:cs="Calibri"/>
          <w:color w:val="404040" w:themeColor="text1" w:themeTint="BF"/>
          <w:sz w:val="21"/>
          <w:szCs w:val="21"/>
          <w:lang w:val="en-GB"/>
        </w:rPr>
        <w:t xml:space="preserve"> and we must work towards enabling the effective participation of all relevant actors.</w:t>
      </w:r>
      <w:r w:rsidRPr="00012B18">
        <w:rPr>
          <w:rFonts w:ascii="Roboto" w:hAnsi="Roboto" w:cs="Calibri"/>
          <w:color w:val="404040" w:themeColor="text1" w:themeTint="BF"/>
          <w:sz w:val="21"/>
          <w:szCs w:val="21"/>
          <w:lang w:val="en-GB"/>
        </w:rPr>
        <w:t xml:space="preserve"> </w:t>
      </w:r>
    </w:p>
    <w:p w14:paraId="5C7CF845" w14:textId="77777777" w:rsidR="00082BE4" w:rsidRPr="00012B18" w:rsidRDefault="00082BE4" w:rsidP="00082BE4">
      <w:pPr>
        <w:rPr>
          <w:rFonts w:ascii="Roboto" w:hAnsi="Roboto" w:cs="Calibri"/>
          <w:b/>
          <w:bCs/>
          <w:color w:val="404040" w:themeColor="text1" w:themeTint="BF"/>
          <w:sz w:val="21"/>
          <w:szCs w:val="21"/>
          <w:lang w:val="en-GB"/>
        </w:rPr>
      </w:pPr>
    </w:p>
    <w:p w14:paraId="414D6275" w14:textId="77777777" w:rsidR="00082BE4" w:rsidRPr="00012B18" w:rsidRDefault="00082BE4" w:rsidP="00082BE4">
      <w:pPr>
        <w:spacing w:after="200"/>
        <w:jc w:val="both"/>
        <w:rPr>
          <w:rFonts w:ascii="Roboto" w:hAnsi="Roboto" w:cs="Calibri"/>
          <w:b/>
          <w:bCs/>
          <w:color w:val="404040" w:themeColor="text1" w:themeTint="BF"/>
          <w:sz w:val="21"/>
          <w:szCs w:val="21"/>
          <w:lang w:val="en-GB"/>
        </w:rPr>
      </w:pPr>
      <w:r w:rsidRPr="00012B18">
        <w:rPr>
          <w:rFonts w:ascii="Roboto" w:hAnsi="Roboto" w:cs="Calibri"/>
          <w:b/>
          <w:bCs/>
          <w:color w:val="404040" w:themeColor="text1" w:themeTint="BF"/>
          <w:sz w:val="21"/>
          <w:szCs w:val="21"/>
          <w:lang w:val="en-GB"/>
        </w:rPr>
        <w:t>Multi-Stakeholder Partnerships</w:t>
      </w:r>
    </w:p>
    <w:p w14:paraId="50C6F1DA" w14:textId="325AFB01" w:rsidR="00082BE4" w:rsidRPr="00012B18" w:rsidRDefault="00082BE4" w:rsidP="00082BE4">
      <w:pPr>
        <w:jc w:val="both"/>
        <w:rPr>
          <w:rFonts w:ascii="Roboto" w:hAnsi="Roboto" w:cs="Calibri"/>
          <w:color w:val="404040" w:themeColor="text1" w:themeTint="BF"/>
          <w:sz w:val="21"/>
          <w:szCs w:val="21"/>
          <w:lang w:val="en-GB"/>
        </w:rPr>
      </w:pPr>
      <w:r w:rsidRPr="00012B18">
        <w:rPr>
          <w:rFonts w:ascii="Roboto" w:hAnsi="Roboto" w:cs="Calibri"/>
          <w:color w:val="404040" w:themeColor="text1" w:themeTint="BF"/>
          <w:sz w:val="21"/>
          <w:szCs w:val="21"/>
          <w:lang w:val="en-GB"/>
        </w:rPr>
        <w:t xml:space="preserve">As part of support to the localization of the SDGs, a UNCT outreach initiative has been launched to begin engaging actors at the sub-national level in collaboration with key ministries, regional government actors, the private sector, civil society, and academia. Through its partnership strategy, the UN in the KSA identified three partnership modalities </w:t>
      </w:r>
      <w:r w:rsidR="004C6E4B">
        <w:rPr>
          <w:rFonts w:ascii="Roboto" w:hAnsi="Roboto" w:cs="Calibri"/>
          <w:color w:val="404040" w:themeColor="text1" w:themeTint="BF"/>
          <w:sz w:val="21"/>
          <w:szCs w:val="21"/>
          <w:lang w:val="en-GB"/>
        </w:rPr>
        <w:t xml:space="preserve">that will rely </w:t>
      </w:r>
      <w:r w:rsidRPr="00012B18">
        <w:rPr>
          <w:rFonts w:ascii="Roboto" w:hAnsi="Roboto" w:cs="Calibri"/>
          <w:color w:val="404040" w:themeColor="text1" w:themeTint="BF"/>
          <w:sz w:val="21"/>
          <w:szCs w:val="21"/>
          <w:lang w:val="en-GB"/>
        </w:rPr>
        <w:t>on direct engagement, convening power</w:t>
      </w:r>
      <w:r w:rsidR="00176E14">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lang w:val="en-GB"/>
        </w:rPr>
        <w:t xml:space="preserve"> and innovation and research. As such, the Resident Coordinator assumes the role of coordination between different UN AFPs operating in the KSA through the UNCT and the UN Partnerships Working Group and use</w:t>
      </w:r>
      <w:r w:rsidR="00176E14">
        <w:rPr>
          <w:rFonts w:ascii="Roboto" w:hAnsi="Roboto" w:cs="Calibri"/>
          <w:color w:val="404040" w:themeColor="text1" w:themeTint="BF"/>
          <w:sz w:val="21"/>
          <w:szCs w:val="21"/>
          <w:lang w:val="en-GB"/>
        </w:rPr>
        <w:t>s</w:t>
      </w:r>
      <w:r w:rsidRPr="00012B18">
        <w:rPr>
          <w:rFonts w:ascii="Roboto" w:hAnsi="Roboto" w:cs="Calibri"/>
          <w:color w:val="404040" w:themeColor="text1" w:themeTint="BF"/>
          <w:sz w:val="21"/>
          <w:szCs w:val="21"/>
          <w:lang w:val="en-GB"/>
        </w:rPr>
        <w:t xml:space="preserve"> her</w:t>
      </w:r>
      <w:r w:rsidR="007A057C">
        <w:rPr>
          <w:rFonts w:ascii="Roboto" w:hAnsi="Roboto" w:cs="Calibri"/>
          <w:color w:val="404040" w:themeColor="text1" w:themeTint="BF"/>
          <w:sz w:val="21"/>
          <w:szCs w:val="21"/>
          <w:lang w:val="en-GB"/>
        </w:rPr>
        <w:t>/his</w:t>
      </w:r>
      <w:r w:rsidRPr="00012B18">
        <w:rPr>
          <w:rFonts w:ascii="Roboto" w:hAnsi="Roboto" w:cs="Calibri"/>
          <w:color w:val="404040" w:themeColor="text1" w:themeTint="BF"/>
          <w:sz w:val="21"/>
          <w:szCs w:val="21"/>
          <w:lang w:val="en-GB"/>
        </w:rPr>
        <w:t xml:space="preserve"> convening power to foster and accelerate partnerships.</w:t>
      </w:r>
    </w:p>
    <w:p w14:paraId="7B391FBE" w14:textId="77777777" w:rsidR="00082BE4" w:rsidRPr="00012B18" w:rsidRDefault="00082BE4" w:rsidP="00082BE4">
      <w:pPr>
        <w:jc w:val="both"/>
        <w:rPr>
          <w:rFonts w:ascii="Roboto" w:hAnsi="Roboto"/>
          <w:b/>
          <w:bCs/>
          <w:color w:val="404040" w:themeColor="text1" w:themeTint="BF"/>
          <w:sz w:val="21"/>
          <w:szCs w:val="21"/>
          <w:lang w:val="en-GB"/>
        </w:rPr>
      </w:pPr>
    </w:p>
    <w:p w14:paraId="795CD2C0" w14:textId="3EF1F2E9" w:rsidR="00082BE4" w:rsidRPr="00012B18" w:rsidRDefault="00082BE4" w:rsidP="00082BE4">
      <w:pPr>
        <w:jc w:val="both"/>
        <w:rPr>
          <w:rFonts w:ascii="Roboto" w:hAnsi="Roboto" w:cs="Calibri"/>
          <w:color w:val="404040" w:themeColor="text1" w:themeTint="BF"/>
          <w:sz w:val="21"/>
          <w:szCs w:val="21"/>
          <w:lang w:val="en-GB"/>
        </w:rPr>
      </w:pPr>
      <w:r w:rsidRPr="00012B18">
        <w:rPr>
          <w:rFonts w:ascii="Roboto" w:hAnsi="Roboto"/>
          <w:color w:val="404040" w:themeColor="text1" w:themeTint="BF"/>
          <w:sz w:val="21"/>
          <w:szCs w:val="21"/>
          <w:lang w:val="en-GB"/>
        </w:rPr>
        <w:t xml:space="preserve">The inclusion of vulnerable groups is particularly salient in the domain of partnerships. </w:t>
      </w:r>
      <w:proofErr w:type="gramStart"/>
      <w:r w:rsidRPr="00012B18">
        <w:rPr>
          <w:rFonts w:ascii="Roboto" w:hAnsi="Roboto"/>
          <w:color w:val="404040" w:themeColor="text1" w:themeTint="BF"/>
          <w:sz w:val="21"/>
          <w:szCs w:val="21"/>
          <w:lang w:val="en-GB"/>
        </w:rPr>
        <w:t>In order to</w:t>
      </w:r>
      <w:proofErr w:type="gramEnd"/>
      <w:r w:rsidRPr="00012B18">
        <w:rPr>
          <w:rFonts w:ascii="Roboto" w:hAnsi="Roboto"/>
          <w:color w:val="404040" w:themeColor="text1" w:themeTint="BF"/>
          <w:sz w:val="21"/>
          <w:szCs w:val="21"/>
          <w:lang w:val="en-GB"/>
        </w:rPr>
        <w:t xml:space="preserve"> work towards an inclusive and sustainable future, it is critical that all voices be taken into account and given equal weight. Ensuring that vulnerable groups are not only recognized but also have a seat at the table falls under SDG 16. </w:t>
      </w:r>
      <w:r w:rsidR="005902BE">
        <w:rPr>
          <w:rFonts w:ascii="Roboto" w:hAnsi="Roboto"/>
          <w:color w:val="404040" w:themeColor="text1" w:themeTint="BF"/>
          <w:sz w:val="21"/>
          <w:szCs w:val="21"/>
          <w:lang w:val="en-GB"/>
        </w:rPr>
        <w:t xml:space="preserve"> </w:t>
      </w:r>
      <w:r w:rsidRPr="00012B18">
        <w:rPr>
          <w:rFonts w:ascii="Roboto" w:hAnsi="Roboto"/>
          <w:color w:val="404040" w:themeColor="text1" w:themeTint="BF"/>
          <w:sz w:val="21"/>
          <w:szCs w:val="21"/>
          <w:lang w:val="en-GB"/>
        </w:rPr>
        <w:t xml:space="preserve">Towards identifying the </w:t>
      </w:r>
      <w:r w:rsidR="00822950">
        <w:rPr>
          <w:rFonts w:ascii="Roboto" w:hAnsi="Roboto"/>
          <w:color w:val="404040" w:themeColor="text1" w:themeTint="BF"/>
          <w:sz w:val="21"/>
          <w:szCs w:val="21"/>
          <w:lang w:val="en-GB"/>
        </w:rPr>
        <w:t xml:space="preserve">most </w:t>
      </w:r>
      <w:r w:rsidRPr="00012B18">
        <w:rPr>
          <w:rFonts w:ascii="Roboto" w:hAnsi="Roboto"/>
          <w:color w:val="404040" w:themeColor="text1" w:themeTint="BF"/>
          <w:sz w:val="21"/>
          <w:szCs w:val="21"/>
          <w:lang w:val="en-GB"/>
        </w:rPr>
        <w:t xml:space="preserve">vulnerable </w:t>
      </w:r>
      <w:proofErr w:type="gramStart"/>
      <w:r w:rsidRPr="00012B18">
        <w:rPr>
          <w:rFonts w:ascii="Roboto" w:hAnsi="Roboto"/>
          <w:color w:val="404040" w:themeColor="text1" w:themeTint="BF"/>
          <w:sz w:val="21"/>
          <w:szCs w:val="21"/>
          <w:lang w:val="en-GB"/>
        </w:rPr>
        <w:t>groups ,</w:t>
      </w:r>
      <w:proofErr w:type="gramEnd"/>
      <w:r w:rsidRPr="00012B18">
        <w:rPr>
          <w:rFonts w:ascii="Roboto" w:hAnsi="Roboto"/>
          <w:color w:val="404040" w:themeColor="text1" w:themeTint="BF"/>
          <w:sz w:val="21"/>
          <w:szCs w:val="21"/>
          <w:lang w:val="en-GB"/>
        </w:rPr>
        <w:t xml:space="preserve"> data</w:t>
      </w:r>
      <w:r w:rsidR="00507607">
        <w:rPr>
          <w:rFonts w:ascii="Roboto" w:hAnsi="Roboto"/>
          <w:color w:val="404040" w:themeColor="text1" w:themeTint="BF"/>
          <w:sz w:val="21"/>
          <w:szCs w:val="21"/>
          <w:lang w:val="en-GB"/>
        </w:rPr>
        <w:t xml:space="preserve"> from </w:t>
      </w:r>
      <w:r w:rsidR="00507607" w:rsidRPr="00507607">
        <w:rPr>
          <w:rFonts w:ascii="Roboto" w:hAnsi="Roboto"/>
          <w:color w:val="404040" w:themeColor="text1" w:themeTint="BF"/>
          <w:sz w:val="21"/>
          <w:szCs w:val="21"/>
          <w:lang w:val="en-GB"/>
        </w:rPr>
        <w:t>Special Procedures</w:t>
      </w:r>
      <w:r w:rsidR="00507607">
        <w:rPr>
          <w:rFonts w:ascii="Roboto" w:hAnsi="Roboto"/>
          <w:color w:val="404040" w:themeColor="text1" w:themeTint="BF"/>
          <w:sz w:val="21"/>
          <w:szCs w:val="21"/>
          <w:lang w:val="en-GB"/>
        </w:rPr>
        <w:t xml:space="preserve">, </w:t>
      </w:r>
      <w:r w:rsidR="00507607" w:rsidRPr="00507607">
        <w:rPr>
          <w:rFonts w:ascii="Roboto" w:hAnsi="Roboto"/>
          <w:color w:val="404040" w:themeColor="text1" w:themeTint="BF"/>
          <w:sz w:val="21"/>
          <w:szCs w:val="21"/>
          <w:lang w:val="en-GB"/>
        </w:rPr>
        <w:t>Treaty Bodies</w:t>
      </w:r>
      <w:r w:rsidR="00507607">
        <w:rPr>
          <w:rFonts w:ascii="Roboto" w:hAnsi="Roboto"/>
          <w:color w:val="404040" w:themeColor="text1" w:themeTint="BF"/>
          <w:sz w:val="21"/>
          <w:szCs w:val="21"/>
          <w:lang w:val="en-GB"/>
        </w:rPr>
        <w:t xml:space="preserve">, and </w:t>
      </w:r>
      <w:r w:rsidR="00507607" w:rsidRPr="00507607">
        <w:rPr>
          <w:rFonts w:ascii="Roboto" w:hAnsi="Roboto"/>
          <w:color w:val="404040" w:themeColor="text1" w:themeTint="BF"/>
          <w:sz w:val="21"/>
          <w:szCs w:val="21"/>
          <w:lang w:val="en-GB"/>
        </w:rPr>
        <w:t>Universal Periodic Review</w:t>
      </w:r>
      <w:r w:rsidR="00507607">
        <w:rPr>
          <w:rFonts w:ascii="Roboto" w:hAnsi="Roboto"/>
          <w:color w:val="404040" w:themeColor="text1" w:themeTint="BF"/>
          <w:sz w:val="21"/>
          <w:szCs w:val="21"/>
          <w:lang w:val="en-GB"/>
        </w:rPr>
        <w:t>s are compiled through</w:t>
      </w:r>
      <w:r w:rsidRPr="00012B18">
        <w:rPr>
          <w:rFonts w:ascii="Roboto" w:hAnsi="Roboto"/>
          <w:color w:val="404040" w:themeColor="text1" w:themeTint="BF"/>
          <w:sz w:val="21"/>
          <w:szCs w:val="21"/>
          <w:lang w:val="en-GB"/>
        </w:rPr>
        <w:t xml:space="preserve"> the </w:t>
      </w:r>
      <w:r w:rsidRPr="00012B18">
        <w:rPr>
          <w:rFonts w:ascii="Roboto" w:hAnsi="Roboto" w:cs="Calibri"/>
          <w:color w:val="404040" w:themeColor="text1" w:themeTint="BF"/>
          <w:sz w:val="21"/>
          <w:szCs w:val="21"/>
          <w:lang w:val="en-GB"/>
        </w:rPr>
        <w:t>Danish Human Rights SDG – Human Rights Data Explorer</w:t>
      </w:r>
      <w:r w:rsidR="00507607">
        <w:rPr>
          <w:rFonts w:ascii="Roboto" w:hAnsi="Roboto" w:cs="Calibri"/>
          <w:color w:val="404040" w:themeColor="text1" w:themeTint="BF"/>
          <w:sz w:val="21"/>
          <w:szCs w:val="21"/>
          <w:lang w:val="en-GB"/>
        </w:rPr>
        <w:t>.</w:t>
      </w:r>
      <w:r w:rsidRPr="00012B18">
        <w:rPr>
          <w:rFonts w:ascii="Roboto" w:hAnsi="Roboto" w:cs="Calibri"/>
          <w:color w:val="404040" w:themeColor="text1" w:themeTint="BF"/>
          <w:sz w:val="21"/>
          <w:szCs w:val="21"/>
          <w:vertAlign w:val="superscript"/>
          <w:lang w:val="en-GB"/>
        </w:rPr>
        <w:endnoteReference w:id="20"/>
      </w:r>
      <w:r w:rsidRPr="00012B18">
        <w:rPr>
          <w:rFonts w:ascii="Roboto" w:hAnsi="Roboto" w:cs="Calibri"/>
          <w:color w:val="404040" w:themeColor="text1" w:themeTint="BF"/>
          <w:sz w:val="21"/>
          <w:szCs w:val="21"/>
          <w:lang w:val="en-GB"/>
        </w:rPr>
        <w:t xml:space="preserve"> </w:t>
      </w:r>
      <w:r w:rsidR="00507607">
        <w:rPr>
          <w:rFonts w:ascii="Roboto" w:hAnsi="Roboto" w:cs="Calibri"/>
          <w:color w:val="404040" w:themeColor="text1" w:themeTint="BF"/>
          <w:sz w:val="21"/>
          <w:szCs w:val="21"/>
          <w:lang w:val="en-GB"/>
        </w:rPr>
        <w:t xml:space="preserve">The data collected </w:t>
      </w:r>
      <w:r w:rsidRPr="00012B18">
        <w:rPr>
          <w:rFonts w:ascii="Roboto" w:hAnsi="Roboto" w:cs="Calibri"/>
          <w:color w:val="404040" w:themeColor="text1" w:themeTint="BF"/>
          <w:sz w:val="21"/>
          <w:szCs w:val="21"/>
          <w:lang w:val="en-GB"/>
        </w:rPr>
        <w:t xml:space="preserve">since 2008 </w:t>
      </w:r>
      <w:r w:rsidR="00507607">
        <w:rPr>
          <w:rFonts w:ascii="Roboto" w:hAnsi="Roboto" w:cs="Calibri"/>
          <w:color w:val="404040" w:themeColor="text1" w:themeTint="BF"/>
          <w:sz w:val="21"/>
          <w:szCs w:val="21"/>
          <w:lang w:val="en-GB"/>
        </w:rPr>
        <w:t xml:space="preserve">identifies </w:t>
      </w:r>
      <w:r w:rsidRPr="00012B18">
        <w:rPr>
          <w:rFonts w:ascii="Roboto" w:hAnsi="Roboto" w:cs="Calibri"/>
          <w:color w:val="404040" w:themeColor="text1" w:themeTint="BF"/>
          <w:sz w:val="21"/>
          <w:szCs w:val="21"/>
          <w:lang w:val="en-GB"/>
        </w:rPr>
        <w:t>515 human rights observations and recommendations explicitly relate</w:t>
      </w:r>
      <w:r w:rsidR="00470709">
        <w:rPr>
          <w:rFonts w:ascii="Roboto" w:hAnsi="Roboto" w:cs="Calibri"/>
          <w:color w:val="404040" w:themeColor="text1" w:themeTint="BF"/>
          <w:sz w:val="21"/>
          <w:szCs w:val="21"/>
          <w:lang w:val="en-GB"/>
        </w:rPr>
        <w:t>d</w:t>
      </w:r>
      <w:r w:rsidRPr="00012B18">
        <w:rPr>
          <w:rFonts w:ascii="Roboto" w:hAnsi="Roboto" w:cs="Calibri"/>
          <w:color w:val="404040" w:themeColor="text1" w:themeTint="BF"/>
          <w:sz w:val="21"/>
          <w:szCs w:val="21"/>
          <w:lang w:val="en-GB"/>
        </w:rPr>
        <w:t xml:space="preserve"> to one or more vulnerable groups</w:t>
      </w:r>
      <w:r w:rsidR="00507607">
        <w:rPr>
          <w:rFonts w:ascii="Roboto" w:hAnsi="Roboto" w:cs="Calibri"/>
          <w:color w:val="404040" w:themeColor="text1" w:themeTint="BF"/>
          <w:sz w:val="21"/>
          <w:szCs w:val="21"/>
          <w:lang w:val="en-GB"/>
        </w:rPr>
        <w:t xml:space="preserve"> in the KSA</w:t>
      </w:r>
      <w:r w:rsidRPr="00012B18">
        <w:rPr>
          <w:rFonts w:ascii="Roboto" w:hAnsi="Roboto" w:cs="Calibri"/>
          <w:color w:val="404040" w:themeColor="text1" w:themeTint="BF"/>
          <w:sz w:val="21"/>
          <w:szCs w:val="21"/>
          <w:lang w:val="en-GB"/>
        </w:rPr>
        <w:t>. The figure below indicates the frequency with which vulnerable groups in the KSA are implicated in these human rights recommendations and observations.</w:t>
      </w:r>
    </w:p>
    <w:p w14:paraId="790E0576" w14:textId="77777777" w:rsidR="00082BE4" w:rsidRDefault="00082BE4" w:rsidP="00082BE4">
      <w:pPr>
        <w:rPr>
          <w:rFonts w:ascii="Roboto" w:hAnsi="Roboto" w:cs="Calibri"/>
          <w:color w:val="404040" w:themeColor="text1" w:themeTint="BF"/>
          <w:sz w:val="21"/>
          <w:szCs w:val="21"/>
          <w:lang w:val="en-GB"/>
        </w:rPr>
      </w:pPr>
    </w:p>
    <w:p w14:paraId="29F4677F" w14:textId="77777777" w:rsidR="00082BE4" w:rsidRPr="00012B18" w:rsidRDefault="00082BE4" w:rsidP="00082BE4">
      <w:pPr>
        <w:rPr>
          <w:rFonts w:ascii="Roboto" w:hAnsi="Roboto" w:cs="Calibri"/>
          <w:color w:val="404040" w:themeColor="text1" w:themeTint="BF"/>
          <w:sz w:val="21"/>
          <w:szCs w:val="21"/>
          <w:lang w:val="en-GB"/>
        </w:rPr>
      </w:pPr>
    </w:p>
    <w:p w14:paraId="20332EB5" w14:textId="77777777" w:rsidR="00082BE4" w:rsidRPr="00012B18" w:rsidRDefault="00082BE4" w:rsidP="00082BE4">
      <w:pPr>
        <w:jc w:val="both"/>
        <w:rPr>
          <w:rFonts w:ascii="Roboto" w:hAnsi="Roboto" w:cs="Calibri"/>
          <w:color w:val="404040" w:themeColor="text1" w:themeTint="BF"/>
          <w:sz w:val="21"/>
          <w:szCs w:val="21"/>
        </w:rPr>
      </w:pPr>
      <w:r w:rsidRPr="00012B18">
        <w:rPr>
          <w:rFonts w:ascii="Roboto" w:hAnsi="Roboto" w:cs="Calibri"/>
          <w:b/>
          <w:color w:val="404040" w:themeColor="text1" w:themeTint="BF"/>
          <w:sz w:val="21"/>
          <w:szCs w:val="21"/>
          <w:lang w:val="en-GB"/>
        </w:rPr>
        <w:lastRenderedPageBreak/>
        <w:t>Figure 2.9: Human rights observations and recommendations distribution by vulnerable groups</w:t>
      </w:r>
      <w:r w:rsidRPr="00012B18">
        <w:rPr>
          <w:rFonts w:ascii="Roboto" w:hAnsi="Roboto" w:cs="Calibri"/>
          <w:color w:val="404040" w:themeColor="text1" w:themeTint="BF"/>
          <w:sz w:val="21"/>
          <w:szCs w:val="21"/>
          <w:vertAlign w:val="superscript"/>
          <w:lang w:val="en-GB"/>
        </w:rPr>
        <w:t xml:space="preserve"> </w:t>
      </w:r>
      <w:r w:rsidRPr="00012B18">
        <w:rPr>
          <w:rFonts w:ascii="Roboto" w:hAnsi="Roboto" w:cs="Calibri"/>
          <w:color w:val="404040" w:themeColor="text1" w:themeTint="BF"/>
          <w:sz w:val="21"/>
          <w:szCs w:val="21"/>
          <w:vertAlign w:val="superscript"/>
          <w:lang w:val="en-GB"/>
        </w:rPr>
        <w:endnoteReference w:id="21"/>
      </w:r>
      <w:r w:rsidRPr="00012B18">
        <w:rPr>
          <w:noProof/>
        </w:rPr>
        <w:drawing>
          <wp:inline distT="0" distB="0" distL="0" distR="0" wp14:anchorId="0C3E0024" wp14:editId="41981735">
            <wp:extent cx="5499100" cy="2997200"/>
            <wp:effectExtent l="0" t="0" r="6350" b="0"/>
            <wp:docPr id="80" name="Chart 80">
              <a:extLst xmlns:a="http://schemas.openxmlformats.org/drawingml/2006/main">
                <a:ext uri="{FF2B5EF4-FFF2-40B4-BE49-F238E27FC236}">
                  <a16:creationId xmlns:a16="http://schemas.microsoft.com/office/drawing/2014/main" id="{BE837FD9-0043-4162-A227-0C63334FA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9398BD" w14:textId="3CD5335C" w:rsidR="00082BE4" w:rsidRPr="00012B18" w:rsidRDefault="00082BE4" w:rsidP="00082BE4">
      <w:pPr>
        <w:spacing w:after="200"/>
        <w:jc w:val="both"/>
        <w:rPr>
          <w:rFonts w:ascii="Roboto" w:hAnsi="Roboto"/>
          <w:b/>
          <w:color w:val="404040" w:themeColor="text1" w:themeTint="BF"/>
          <w:sz w:val="21"/>
          <w:szCs w:val="21"/>
          <w:lang w:val="en-GB"/>
        </w:rPr>
      </w:pPr>
      <w:r w:rsidRPr="00012B18">
        <w:rPr>
          <w:rFonts w:ascii="Roboto" w:hAnsi="Roboto" w:cs="Calibri"/>
          <w:color w:val="404040" w:themeColor="text1" w:themeTint="BF"/>
          <w:sz w:val="21"/>
          <w:szCs w:val="21"/>
          <w:lang w:val="en-GB"/>
        </w:rPr>
        <w:t>Women and girls constitute the vulnerable group that is most often identified in the KSA’s human rights observations and recommendations – over one-third (34.7%) concern them.</w:t>
      </w:r>
      <w:r w:rsidRPr="00012B18">
        <w:rPr>
          <w:rFonts w:ascii="Roboto" w:hAnsi="Roboto" w:cs="Calibri"/>
          <w:color w:val="404040" w:themeColor="text1" w:themeTint="BF"/>
          <w:sz w:val="21"/>
          <w:szCs w:val="21"/>
          <w:vertAlign w:val="superscript"/>
          <w:lang w:val="en-GB"/>
        </w:rPr>
        <w:endnoteReference w:id="22"/>
      </w:r>
      <w:r w:rsidRPr="00012B18">
        <w:rPr>
          <w:rFonts w:ascii="Roboto" w:hAnsi="Roboto" w:cs="Calibri"/>
          <w:color w:val="404040" w:themeColor="text1" w:themeTint="BF"/>
          <w:sz w:val="21"/>
          <w:szCs w:val="21"/>
          <w:lang w:val="en-GB"/>
        </w:rPr>
        <w:t xml:space="preserve"> </w:t>
      </w:r>
      <w:r w:rsidRPr="00012B18">
        <w:rPr>
          <w:rFonts w:ascii="Roboto" w:hAnsi="Roboto"/>
          <w:color w:val="404040" w:themeColor="text1" w:themeTint="BF"/>
          <w:sz w:val="21"/>
          <w:szCs w:val="21"/>
          <w:lang w:val="en-GB"/>
        </w:rPr>
        <w:t>Children and migrants are also frequently identified as vulnerable groups, as they are mentioned by 25.7% and 12%</w:t>
      </w:r>
      <w:r w:rsidR="00447C58">
        <w:rPr>
          <w:rFonts w:ascii="Roboto" w:hAnsi="Roboto"/>
          <w:color w:val="404040" w:themeColor="text1" w:themeTint="BF"/>
          <w:sz w:val="21"/>
          <w:szCs w:val="21"/>
          <w:lang w:val="en-GB"/>
        </w:rPr>
        <w:t>, respectively,</w:t>
      </w:r>
      <w:r w:rsidRPr="00012B18">
        <w:rPr>
          <w:rFonts w:ascii="Roboto" w:hAnsi="Roboto"/>
          <w:color w:val="404040" w:themeColor="text1" w:themeTint="BF"/>
          <w:sz w:val="21"/>
          <w:szCs w:val="21"/>
          <w:lang w:val="en-GB"/>
        </w:rPr>
        <w:t xml:space="preserve"> of the KSA’s human rights observations and recommendations.  </w:t>
      </w:r>
    </w:p>
    <w:p w14:paraId="47577356" w14:textId="0D5C20E9" w:rsidR="00082BE4" w:rsidRPr="00012B18" w:rsidRDefault="00082BE4" w:rsidP="00082BE4">
      <w:pPr>
        <w:spacing w:after="200"/>
        <w:jc w:val="both"/>
        <w:rPr>
          <w:rFonts w:cs="Calibri"/>
          <w:b/>
          <w:bCs/>
          <w:sz w:val="22"/>
          <w:szCs w:val="22"/>
          <w:lang w:val="en-GB"/>
        </w:rPr>
      </w:pPr>
      <w:r w:rsidRPr="00012B18">
        <w:rPr>
          <w:rFonts w:ascii="Roboto" w:hAnsi="Roboto" w:cs="Calibri"/>
          <w:color w:val="404040" w:themeColor="text1" w:themeTint="BF"/>
          <w:sz w:val="21"/>
          <w:szCs w:val="21"/>
          <w:lang w:val="en-GB"/>
        </w:rPr>
        <w:t xml:space="preserve">An effort has been made to incorporate the perspectives and considerations of all vulnerable groups into all UN activities. In the future, it will also be key to apply an intersectional lens to this analysis to determine which overlapping members of these groups are most at risk of being left behind. </w:t>
      </w:r>
    </w:p>
    <w:p w14:paraId="00F07A92" w14:textId="77777777" w:rsidR="00082BE4" w:rsidRPr="00012B18" w:rsidRDefault="00082BE4" w:rsidP="00082BE4">
      <w:pPr>
        <w:jc w:val="both"/>
        <w:rPr>
          <w:rFonts w:ascii="Roboto" w:hAnsi="Roboto" w:cs="Calibri"/>
          <w:b/>
          <w:bCs/>
          <w:color w:val="404040" w:themeColor="text1" w:themeTint="BF"/>
          <w:sz w:val="21"/>
          <w:szCs w:val="21"/>
          <w:lang w:val="en-GB"/>
        </w:rPr>
      </w:pPr>
    </w:p>
    <w:p w14:paraId="249ADBBA" w14:textId="77777777" w:rsidR="00082BE4" w:rsidRPr="00012B18" w:rsidRDefault="00082BE4" w:rsidP="00082BE4">
      <w:pPr>
        <w:spacing w:after="200"/>
        <w:jc w:val="both"/>
        <w:rPr>
          <w:rFonts w:ascii="Roboto" w:hAnsi="Roboto" w:cs="Calibri"/>
          <w:b/>
          <w:bCs/>
          <w:color w:val="404040" w:themeColor="text1" w:themeTint="BF"/>
          <w:sz w:val="21"/>
          <w:szCs w:val="21"/>
          <w:lang w:val="en-GB"/>
        </w:rPr>
      </w:pPr>
      <w:r w:rsidRPr="00012B18">
        <w:rPr>
          <w:rFonts w:ascii="Roboto" w:hAnsi="Roboto" w:cs="Calibri"/>
          <w:b/>
          <w:bCs/>
          <w:color w:val="404040" w:themeColor="text1" w:themeTint="BF"/>
          <w:sz w:val="21"/>
          <w:szCs w:val="21"/>
          <w:lang w:val="en-GB"/>
        </w:rPr>
        <w:t>Financing for Sustainable Development </w:t>
      </w:r>
    </w:p>
    <w:p w14:paraId="63EC3A3F" w14:textId="08780A1F" w:rsidR="00082BE4" w:rsidRPr="00914522" w:rsidRDefault="0000145B" w:rsidP="00082BE4">
      <w:pPr>
        <w:jc w:val="both"/>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In</w:t>
      </w:r>
      <w:r w:rsidR="00082BE4" w:rsidRPr="00012B18">
        <w:rPr>
          <w:rFonts w:ascii="Roboto" w:hAnsi="Roboto" w:cs="Calibri"/>
          <w:color w:val="404040" w:themeColor="text1" w:themeTint="BF"/>
          <w:sz w:val="21"/>
          <w:szCs w:val="21"/>
          <w:lang w:val="en-GB"/>
        </w:rPr>
        <w:t xml:space="preserve"> terms of financing</w:t>
      </w:r>
      <w:r w:rsidR="00914522">
        <w:rPr>
          <w:rFonts w:ascii="Roboto" w:hAnsi="Roboto" w:cs="Calibri"/>
          <w:color w:val="404040" w:themeColor="text1" w:themeTint="BF"/>
          <w:sz w:val="21"/>
          <w:szCs w:val="21"/>
          <w:lang w:val="en-GB"/>
        </w:rPr>
        <w:t xml:space="preserve"> sustainable development</w:t>
      </w:r>
      <w:r w:rsidR="00082BE4" w:rsidRPr="00012B18">
        <w:rPr>
          <w:rFonts w:ascii="Roboto" w:hAnsi="Roboto" w:cs="Calibri"/>
          <w:color w:val="404040" w:themeColor="text1" w:themeTint="BF"/>
          <w:sz w:val="21"/>
          <w:szCs w:val="21"/>
          <w:lang w:val="en-GB"/>
        </w:rPr>
        <w:t xml:space="preserve">, the UN has worked with </w:t>
      </w:r>
      <w:r w:rsidR="00914522">
        <w:rPr>
          <w:rFonts w:ascii="Roboto" w:hAnsi="Roboto" w:cs="Calibri"/>
          <w:color w:val="404040" w:themeColor="text1" w:themeTint="BF"/>
          <w:sz w:val="21"/>
          <w:szCs w:val="21"/>
          <w:lang w:val="en-GB"/>
        </w:rPr>
        <w:t>various private sector, public sector</w:t>
      </w:r>
      <w:r w:rsidR="00914522" w:rsidRPr="00012B18">
        <w:rPr>
          <w:rFonts w:ascii="Roboto" w:hAnsi="Roboto" w:cs="Calibri"/>
          <w:color w:val="404040" w:themeColor="text1" w:themeTint="BF"/>
          <w:sz w:val="21"/>
          <w:szCs w:val="21"/>
          <w:lang w:val="en-GB"/>
        </w:rPr>
        <w:t>, civil society</w:t>
      </w:r>
      <w:r w:rsidR="00914522">
        <w:rPr>
          <w:rFonts w:ascii="Roboto" w:hAnsi="Roboto" w:cs="Calibri"/>
          <w:color w:val="404040" w:themeColor="text1" w:themeTint="BF"/>
          <w:sz w:val="21"/>
          <w:szCs w:val="21"/>
          <w:lang w:val="en-GB"/>
        </w:rPr>
        <w:t>, and academic</w:t>
      </w:r>
      <w:r w:rsidR="00914522" w:rsidRPr="00012B18">
        <w:rPr>
          <w:rFonts w:ascii="Roboto" w:hAnsi="Roboto" w:cs="Calibri"/>
          <w:color w:val="404040" w:themeColor="text1" w:themeTint="BF"/>
          <w:sz w:val="21"/>
          <w:szCs w:val="21"/>
          <w:lang w:val="en-GB"/>
        </w:rPr>
        <w:t xml:space="preserve"> organizations</w:t>
      </w:r>
      <w:r w:rsidR="00914522">
        <w:rPr>
          <w:rFonts w:ascii="Roboto" w:hAnsi="Roboto" w:cs="Calibri"/>
          <w:color w:val="404040" w:themeColor="text1" w:themeTint="BF"/>
          <w:sz w:val="21"/>
          <w:szCs w:val="21"/>
          <w:lang w:val="en-GB"/>
        </w:rPr>
        <w:t xml:space="preserve">. There are several growth </w:t>
      </w:r>
      <w:r w:rsidR="00C03F3D">
        <w:rPr>
          <w:rFonts w:ascii="Roboto" w:hAnsi="Roboto" w:cs="Calibri"/>
          <w:color w:val="404040" w:themeColor="text1" w:themeTint="BF"/>
          <w:sz w:val="21"/>
          <w:szCs w:val="21"/>
          <w:lang w:val="en-GB"/>
        </w:rPr>
        <w:t>opportunities</w:t>
      </w:r>
      <w:r w:rsidR="00914522">
        <w:rPr>
          <w:rFonts w:ascii="Roboto" w:hAnsi="Roboto" w:cs="Calibri"/>
          <w:color w:val="404040" w:themeColor="text1" w:themeTint="BF"/>
          <w:sz w:val="21"/>
          <w:szCs w:val="21"/>
          <w:lang w:val="en-GB"/>
        </w:rPr>
        <w:t xml:space="preserve"> in the KSA further </w:t>
      </w:r>
      <w:r w:rsidR="00914522" w:rsidRPr="00892373">
        <w:rPr>
          <w:rFonts w:ascii="Roboto" w:hAnsi="Roboto" w:cs="Calibri"/>
          <w:color w:val="404040" w:themeColor="text1" w:themeTint="BF"/>
          <w:sz w:val="21"/>
          <w:szCs w:val="21"/>
          <w:lang w:val="en-GB"/>
        </w:rPr>
        <w:t>leveraging financing for sustainable development, such as through awqaf and other mechanism</w:t>
      </w:r>
      <w:r w:rsidR="00470709" w:rsidRPr="00892373">
        <w:rPr>
          <w:rFonts w:ascii="Roboto" w:hAnsi="Roboto" w:cs="Calibri"/>
          <w:color w:val="404040" w:themeColor="text1" w:themeTint="BF"/>
          <w:sz w:val="21"/>
          <w:szCs w:val="21"/>
          <w:lang w:val="en-GB"/>
        </w:rPr>
        <w:t>s</w:t>
      </w:r>
      <w:r w:rsidR="00914522" w:rsidRPr="00892373">
        <w:rPr>
          <w:rFonts w:ascii="Roboto" w:hAnsi="Roboto" w:cs="Calibri"/>
          <w:color w:val="404040" w:themeColor="text1" w:themeTint="BF"/>
          <w:sz w:val="21"/>
          <w:szCs w:val="21"/>
          <w:lang w:val="en-GB"/>
        </w:rPr>
        <w:t xml:space="preserve"> unique to the region. </w:t>
      </w:r>
      <w:r w:rsidR="00082BE4" w:rsidRPr="00892373">
        <w:rPr>
          <w:rFonts w:ascii="Roboto" w:hAnsi="Roboto" w:cs="Calibri"/>
          <w:color w:val="404040" w:themeColor="text1" w:themeTint="BF"/>
          <w:sz w:val="21"/>
          <w:szCs w:val="21"/>
          <w:lang w:val="en-GB"/>
        </w:rPr>
        <w:t xml:space="preserve"> The focus of UN efforts is to generate knowledge, dialogue, and action on innovative financing for the </w:t>
      </w:r>
      <w:r w:rsidR="00082BE4" w:rsidRPr="00012B18">
        <w:rPr>
          <w:rFonts w:ascii="Roboto" w:hAnsi="Roboto" w:cs="Calibri"/>
          <w:color w:val="404040" w:themeColor="text1" w:themeTint="BF"/>
          <w:sz w:val="21"/>
          <w:szCs w:val="21"/>
          <w:lang w:val="en-GB"/>
        </w:rPr>
        <w:t>SDGs.</w:t>
      </w:r>
    </w:p>
    <w:p w14:paraId="66E2FB2A" w14:textId="285E3909" w:rsidR="00176E14" w:rsidRDefault="00176E14" w:rsidP="00914522">
      <w:pPr>
        <w:jc w:val="both"/>
        <w:rPr>
          <w:rFonts w:ascii="Roboto" w:hAnsi="Roboto" w:cs="Calibri"/>
          <w:color w:val="404040" w:themeColor="text1" w:themeTint="BF"/>
          <w:sz w:val="21"/>
          <w:szCs w:val="21"/>
          <w:lang w:val="en-GB"/>
        </w:rPr>
      </w:pPr>
    </w:p>
    <w:p w14:paraId="1E751F51" w14:textId="6DD1F6FE" w:rsidR="00871C7A" w:rsidRPr="003C206F" w:rsidRDefault="00176E14" w:rsidP="00BB5E5D">
      <w:pPr>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br w:type="page"/>
      </w:r>
    </w:p>
    <w:p w14:paraId="0E821406" w14:textId="2AFD67CF" w:rsidR="00871C7A" w:rsidRPr="003C206F" w:rsidRDefault="00464AC3" w:rsidP="00BE5A63">
      <w:pPr>
        <w:jc w:val="both"/>
        <w:rPr>
          <w:rFonts w:ascii="Roboto" w:hAnsi="Roboto" w:cs="Calibri"/>
          <w:color w:val="404040" w:themeColor="text1" w:themeTint="BF"/>
          <w:sz w:val="21"/>
          <w:szCs w:val="21"/>
          <w:lang w:val="en-GB"/>
        </w:rPr>
      </w:pPr>
      <w:r>
        <w:rPr>
          <w:rFonts w:ascii="Roboto" w:hAnsi="Roboto"/>
          <w:b/>
          <w:bCs/>
          <w:noProof/>
          <w:color w:val="404040" w:themeColor="text1" w:themeTint="BF"/>
          <w:lang w:val="en-GB"/>
        </w:rPr>
        <w:lastRenderedPageBreak/>
        <w:drawing>
          <wp:anchor distT="0" distB="0" distL="114300" distR="114300" simplePos="0" relativeHeight="251742286" behindDoc="1" locked="0" layoutInCell="1" allowOverlap="1" wp14:anchorId="0E23AC92" wp14:editId="3A884591">
            <wp:simplePos x="0" y="0"/>
            <wp:positionH relativeFrom="page">
              <wp:align>right</wp:align>
            </wp:positionH>
            <wp:positionV relativeFrom="paragraph">
              <wp:posOffset>-914400</wp:posOffset>
            </wp:positionV>
            <wp:extent cx="7607298" cy="10765701"/>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54">
                      <a:extLst>
                        <a:ext uri="{28A0092B-C50C-407E-A947-70E740481C1C}">
                          <a14:useLocalDpi xmlns:a14="http://schemas.microsoft.com/office/drawing/2010/main" val="0"/>
                        </a:ext>
                      </a:extLst>
                    </a:blip>
                    <a:stretch>
                      <a:fillRect/>
                    </a:stretch>
                  </pic:blipFill>
                  <pic:spPr>
                    <a:xfrm>
                      <a:off x="0" y="0"/>
                      <a:ext cx="7607298" cy="10765701"/>
                    </a:xfrm>
                    <a:prstGeom prst="rect">
                      <a:avLst/>
                    </a:prstGeom>
                  </pic:spPr>
                </pic:pic>
              </a:graphicData>
            </a:graphic>
            <wp14:sizeRelH relativeFrom="page">
              <wp14:pctWidth>0</wp14:pctWidth>
            </wp14:sizeRelH>
            <wp14:sizeRelV relativeFrom="page">
              <wp14:pctHeight>0</wp14:pctHeight>
            </wp14:sizeRelV>
          </wp:anchor>
        </w:drawing>
      </w:r>
    </w:p>
    <w:p w14:paraId="4B92D4A3" w14:textId="77777777" w:rsidR="00871C7A" w:rsidRPr="003C206F" w:rsidRDefault="00871C7A" w:rsidP="00BE5A63">
      <w:pPr>
        <w:jc w:val="both"/>
        <w:rPr>
          <w:rFonts w:ascii="Roboto" w:hAnsi="Roboto" w:cs="Calibri"/>
          <w:color w:val="404040" w:themeColor="text1" w:themeTint="BF"/>
          <w:sz w:val="21"/>
          <w:szCs w:val="21"/>
          <w:lang w:val="en-GB"/>
        </w:rPr>
      </w:pPr>
    </w:p>
    <w:p w14:paraId="67637B9A" w14:textId="77777777" w:rsidR="00871C7A" w:rsidRPr="003C206F" w:rsidRDefault="00871C7A" w:rsidP="00BE5A63">
      <w:pPr>
        <w:jc w:val="both"/>
        <w:rPr>
          <w:rFonts w:ascii="Roboto" w:hAnsi="Roboto" w:cs="Calibri"/>
          <w:color w:val="404040" w:themeColor="text1" w:themeTint="BF"/>
          <w:sz w:val="21"/>
          <w:szCs w:val="21"/>
          <w:lang w:val="en-GB"/>
        </w:rPr>
      </w:pPr>
    </w:p>
    <w:p w14:paraId="6AB23977" w14:textId="58636FF5" w:rsidR="00871C7A" w:rsidRPr="003C206F" w:rsidRDefault="00871C7A">
      <w:pPr>
        <w:rPr>
          <w:rFonts w:ascii="Roboto" w:hAnsi="Roboto" w:cs="Calibri"/>
          <w:b/>
          <w:bCs/>
          <w:color w:val="404040" w:themeColor="text1" w:themeTint="BF"/>
          <w:sz w:val="22"/>
          <w:szCs w:val="22"/>
          <w:lang w:val="en-GB"/>
        </w:rPr>
      </w:pPr>
    </w:p>
    <w:p w14:paraId="34AF86A3" w14:textId="4A4D20A7" w:rsidR="00871C7A" w:rsidRPr="003C206F" w:rsidRDefault="00871C7A" w:rsidP="00356D7C">
      <w:pPr>
        <w:jc w:val="center"/>
        <w:rPr>
          <w:rFonts w:ascii="Roboto" w:hAnsi="Roboto" w:cs="Calibri"/>
          <w:b/>
          <w:bCs/>
          <w:color w:val="404040" w:themeColor="text1" w:themeTint="BF"/>
          <w:sz w:val="22"/>
          <w:szCs w:val="22"/>
          <w:lang w:val="en-GB"/>
        </w:rPr>
      </w:pPr>
    </w:p>
    <w:p w14:paraId="66AA8254" w14:textId="668D2BBF" w:rsidR="00871C7A" w:rsidRPr="003C206F" w:rsidRDefault="00871C7A" w:rsidP="009C61B1">
      <w:pPr>
        <w:widowControl w:val="0"/>
        <w:autoSpaceDE w:val="0"/>
        <w:autoSpaceDN w:val="0"/>
        <w:jc w:val="center"/>
        <w:rPr>
          <w:rFonts w:ascii="Roboto" w:hAnsi="Roboto"/>
          <w:b/>
          <w:bCs/>
          <w:color w:val="404040" w:themeColor="text1" w:themeTint="BF"/>
          <w:lang w:val="en-GB"/>
        </w:rPr>
        <w:sectPr w:rsidR="00871C7A" w:rsidRPr="003C206F" w:rsidSect="00EB2ED3">
          <w:type w:val="continuous"/>
          <w:pgSz w:w="11900" w:h="16820"/>
          <w:pgMar w:top="1440" w:right="1440" w:bottom="1440" w:left="1440" w:header="720" w:footer="720" w:gutter="0"/>
          <w:cols w:space="720"/>
          <w:noEndnote/>
          <w:docGrid w:linePitch="360"/>
        </w:sectPr>
      </w:pPr>
      <w:r w:rsidRPr="003C206F">
        <w:rPr>
          <w:rFonts w:ascii="Roboto" w:hAnsi="Roboto"/>
          <w:b/>
          <w:bCs/>
          <w:color w:val="404040" w:themeColor="text1" w:themeTint="BF"/>
          <w:lang w:val="en-GB"/>
        </w:rPr>
        <w:t xml:space="preserve"> </w:t>
      </w:r>
    </w:p>
    <w:bookmarkEnd w:id="73"/>
    <w:bookmarkEnd w:id="74"/>
    <w:p w14:paraId="657862BD" w14:textId="441D2C1D" w:rsidR="00871C7A" w:rsidRPr="003C206F" w:rsidRDefault="00871C7A">
      <w:pPr>
        <w:rPr>
          <w:rFonts w:ascii="Roboto" w:hAnsi="Roboto"/>
          <w:b/>
          <w:bCs/>
          <w:color w:val="404040" w:themeColor="text1" w:themeTint="BF"/>
          <w:lang w:val="en-GB"/>
        </w:rPr>
      </w:pPr>
    </w:p>
    <w:p w14:paraId="491857C5" w14:textId="0F709A45" w:rsidR="00871C7A" w:rsidRPr="003C206F" w:rsidRDefault="00871C7A" w:rsidP="0099257B">
      <w:pPr>
        <w:rPr>
          <w:rFonts w:ascii="Roboto" w:hAnsi="Roboto" w:cs="Calibri"/>
          <w:b/>
          <w:bCs/>
          <w:color w:val="404040" w:themeColor="text1" w:themeTint="BF"/>
          <w:sz w:val="4"/>
          <w:szCs w:val="4"/>
          <w:lang w:val="en-GB"/>
        </w:rPr>
      </w:pPr>
    </w:p>
    <w:p w14:paraId="5EF515CE" w14:textId="11DE9C50" w:rsidR="00871C7A" w:rsidRPr="003C206F" w:rsidRDefault="00871C7A" w:rsidP="00831469">
      <w:pPr>
        <w:rPr>
          <w:rFonts w:ascii="Roboto" w:hAnsi="Roboto"/>
          <w:b/>
          <w:bCs/>
          <w:color w:val="404040" w:themeColor="text1" w:themeTint="BF"/>
          <w:sz w:val="4"/>
          <w:szCs w:val="4"/>
          <w:lang w:val="en-GB"/>
        </w:rPr>
      </w:pPr>
      <w:r w:rsidRPr="003C206F">
        <w:rPr>
          <w:rFonts w:ascii="Roboto" w:hAnsi="Roboto" w:cs="Calibri"/>
          <w:b/>
          <w:bCs/>
          <w:color w:val="404040" w:themeColor="text1" w:themeTint="BF"/>
          <w:sz w:val="2"/>
          <w:szCs w:val="2"/>
          <w:lang w:val="en-GB"/>
        </w:rPr>
        <w:t> </w:t>
      </w:r>
    </w:p>
    <w:p w14:paraId="2C8814A5" w14:textId="07703E29" w:rsidR="00871C7A" w:rsidRPr="003C206F" w:rsidRDefault="00871C7A">
      <w:pPr>
        <w:rPr>
          <w:rFonts w:ascii="Roboto" w:hAnsi="Roboto"/>
          <w:b/>
          <w:bCs/>
          <w:color w:val="404040" w:themeColor="text1" w:themeTint="BF"/>
          <w:lang w:val="en-GB"/>
        </w:rPr>
      </w:pPr>
      <w:r w:rsidRPr="003C206F">
        <w:rPr>
          <w:rFonts w:ascii="Roboto" w:hAnsi="Roboto"/>
          <w:b/>
          <w:bCs/>
          <w:noProof/>
          <w:color w:val="404040" w:themeColor="text1" w:themeTint="BF"/>
          <w:lang w:val="en-GB"/>
        </w:rPr>
        <mc:AlternateContent>
          <mc:Choice Requires="wps">
            <w:drawing>
              <wp:anchor distT="0" distB="0" distL="114300" distR="114300" simplePos="0" relativeHeight="251669582" behindDoc="0" locked="0" layoutInCell="1" allowOverlap="1" wp14:anchorId="455207C8" wp14:editId="6835A51D">
                <wp:simplePos x="0" y="0"/>
                <wp:positionH relativeFrom="column">
                  <wp:posOffset>516439</wp:posOffset>
                </wp:positionH>
                <wp:positionV relativeFrom="paragraph">
                  <wp:posOffset>2217154</wp:posOffset>
                </wp:positionV>
                <wp:extent cx="2941983" cy="25273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941983" cy="2527300"/>
                        </a:xfrm>
                        <a:prstGeom prst="rect">
                          <a:avLst/>
                        </a:prstGeom>
                        <a:noFill/>
                        <a:ln w="6350">
                          <a:noFill/>
                        </a:ln>
                      </wps:spPr>
                      <wps:txbx>
                        <w:txbxContent>
                          <w:p w14:paraId="236F510C" w14:textId="08B847AC" w:rsidR="00C74675" w:rsidRPr="0000729D" w:rsidRDefault="0065190B" w:rsidP="0000729D">
                            <w:pPr>
                              <w:pStyle w:val="Heading1"/>
                              <w:rPr>
                                <w:rFonts w:ascii="Roboto" w:hAnsi="Roboto"/>
                                <w:b/>
                                <w:bCs/>
                                <w:color w:val="FFFFFF" w:themeColor="background1"/>
                                <w:sz w:val="56"/>
                                <w:szCs w:val="56"/>
                              </w:rPr>
                            </w:pPr>
                            <w:bookmarkStart w:id="75" w:name="_Toc85548183"/>
                            <w:bookmarkStart w:id="76" w:name="_Toc85548603"/>
                            <w:bookmarkStart w:id="77" w:name="_Toc85624129"/>
                            <w:bookmarkStart w:id="78" w:name="_Toc85624759"/>
                            <w:bookmarkStart w:id="79" w:name="_Toc85624835"/>
                            <w:bookmarkStart w:id="80" w:name="_Toc85625640"/>
                            <w:bookmarkStart w:id="81" w:name="_Toc86580431"/>
                            <w:bookmarkStart w:id="82" w:name="_Toc86691510"/>
                            <w:bookmarkStart w:id="83" w:name="_Toc86704803"/>
                            <w:bookmarkStart w:id="84" w:name="_Toc88667610"/>
                            <w:bookmarkStart w:id="85" w:name="_Toc92289488"/>
                            <w:bookmarkStart w:id="86" w:name="_Toc94103127"/>
                            <w:bookmarkStart w:id="87" w:name="_Toc94103242"/>
                            <w:bookmarkStart w:id="88" w:name="_Toc105333778"/>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3</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796D62B" w14:textId="4DA2AC59" w:rsidR="00C74675" w:rsidRPr="005666BE" w:rsidRDefault="008C5AA6" w:rsidP="006F4C28">
                            <w:pPr>
                              <w:pStyle w:val="KSASubHead2-Blue"/>
                              <w:rPr>
                                <w:sz w:val="36"/>
                                <w:szCs w:val="21"/>
                              </w:rPr>
                            </w:pPr>
                            <w:r>
                              <w:t>COOPERATION FRAMEWORK IMPLEMENTATION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207C8" id="Text Box 24" o:spid="_x0000_s1029" type="#_x0000_t202" style="position:absolute;margin-left:40.65pt;margin-top:174.6pt;width:231.65pt;height:199pt;z-index:2516695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" filled="f" stroked="f" strokeweight=".5pt">
                <v:textbox>
                  <w:txbxContent>
                    <w:p w14:paraId="236F510C" w14:textId="08B847AC" w:rsidR="00C74675" w:rsidRPr="0000729D" w:rsidRDefault="0065190B" w:rsidP="0000729D">
                      <w:pPr>
                        <w:pStyle w:val="Heading1"/>
                        <w:rPr>
                          <w:rFonts w:ascii="Roboto" w:hAnsi="Roboto"/>
                          <w:b/>
                          <w:bCs/>
                          <w:color w:val="FFFFFF" w:themeColor="background1"/>
                          <w:sz w:val="56"/>
                          <w:szCs w:val="56"/>
                        </w:rPr>
                      </w:pPr>
                      <w:bookmarkStart w:id="89" w:name="_Toc85548183"/>
                      <w:bookmarkStart w:id="90" w:name="_Toc85548603"/>
                      <w:bookmarkStart w:id="91" w:name="_Toc85624129"/>
                      <w:bookmarkStart w:id="92" w:name="_Toc85624759"/>
                      <w:bookmarkStart w:id="93" w:name="_Toc85624835"/>
                      <w:bookmarkStart w:id="94" w:name="_Toc85625640"/>
                      <w:bookmarkStart w:id="95" w:name="_Toc86580431"/>
                      <w:bookmarkStart w:id="96" w:name="_Toc86691510"/>
                      <w:bookmarkStart w:id="97" w:name="_Toc86704803"/>
                      <w:bookmarkStart w:id="98" w:name="_Toc88667610"/>
                      <w:bookmarkStart w:id="99" w:name="_Toc92289488"/>
                      <w:bookmarkStart w:id="100" w:name="_Toc94103127"/>
                      <w:bookmarkStart w:id="101" w:name="_Toc94103242"/>
                      <w:bookmarkStart w:id="102" w:name="_Toc105333778"/>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3</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796D62B" w14:textId="4DA2AC59" w:rsidR="00C74675" w:rsidRPr="005666BE" w:rsidRDefault="008C5AA6" w:rsidP="006F4C28">
                      <w:pPr>
                        <w:pStyle w:val="KSASubHead2-Blue"/>
                        <w:rPr>
                          <w:sz w:val="36"/>
                          <w:szCs w:val="21"/>
                        </w:rPr>
                      </w:pPr>
                      <w:r>
                        <w:t>COOPERATION FRAMEWORK IMPLEMENTATION PLAN</w:t>
                      </w:r>
                    </w:p>
                  </w:txbxContent>
                </v:textbox>
              </v:shape>
            </w:pict>
          </mc:Fallback>
        </mc:AlternateContent>
      </w:r>
    </w:p>
    <w:p w14:paraId="5E3780C8" w14:textId="276B8138" w:rsidR="00871C7A" w:rsidRPr="003C206F" w:rsidRDefault="00871C7A">
      <w:pPr>
        <w:rPr>
          <w:rFonts w:ascii="Roboto" w:hAnsi="Roboto"/>
          <w:b/>
          <w:bCs/>
          <w:color w:val="404040" w:themeColor="text1" w:themeTint="BF"/>
          <w:lang w:val="en-GB"/>
        </w:rPr>
      </w:pPr>
    </w:p>
    <w:p w14:paraId="61F1AC0C" w14:textId="7A5BE5E1" w:rsidR="00871C7A" w:rsidRPr="003C206F" w:rsidRDefault="00871C7A">
      <w:pPr>
        <w:rPr>
          <w:rFonts w:ascii="Roboto" w:hAnsi="Roboto"/>
          <w:b/>
          <w:bCs/>
          <w:color w:val="404040" w:themeColor="text1" w:themeTint="BF"/>
          <w:lang w:val="en-GB"/>
        </w:rPr>
      </w:pPr>
      <w:r w:rsidRPr="003C206F">
        <w:rPr>
          <w:rFonts w:ascii="Roboto" w:hAnsi="Roboto"/>
          <w:b/>
          <w:bCs/>
          <w:color w:val="404040" w:themeColor="text1" w:themeTint="BF"/>
          <w:lang w:val="en-GB"/>
        </w:rPr>
        <w:br w:type="page"/>
      </w:r>
    </w:p>
    <w:p w14:paraId="1B83E4D0" w14:textId="77777777" w:rsidR="00871C7A" w:rsidRPr="003C206F" w:rsidRDefault="00871C7A" w:rsidP="00764B23">
      <w:pPr>
        <w:pStyle w:val="Heading1"/>
        <w:spacing w:before="0"/>
        <w:rPr>
          <w:rFonts w:ascii="Roboto" w:hAnsi="Roboto" w:cs="Calibri"/>
          <w:b/>
          <w:bCs/>
          <w:color w:val="404040" w:themeColor="text1" w:themeTint="BF"/>
          <w:sz w:val="28"/>
          <w:szCs w:val="28"/>
          <w:lang w:val="en-GB"/>
        </w:rPr>
        <w:sectPr w:rsidR="00871C7A" w:rsidRPr="003C206F" w:rsidSect="00EB2ED3">
          <w:type w:val="continuous"/>
          <w:pgSz w:w="11900" w:h="16820"/>
          <w:pgMar w:top="1440" w:right="1440" w:bottom="1440" w:left="1440" w:header="720" w:footer="720" w:gutter="0"/>
          <w:cols w:num="2" w:space="720"/>
          <w:noEndnote/>
          <w:docGrid w:linePitch="360"/>
        </w:sectPr>
      </w:pPr>
    </w:p>
    <w:p w14:paraId="075CD09F" w14:textId="579F8973" w:rsidR="007D3669" w:rsidRPr="006812AD" w:rsidRDefault="007D3669" w:rsidP="007D3669">
      <w:pPr>
        <w:pStyle w:val="Heading1"/>
        <w:spacing w:before="0"/>
        <w:rPr>
          <w:rFonts w:ascii="Roboto" w:hAnsi="Roboto" w:cs="Calibri"/>
          <w:b/>
          <w:bCs/>
          <w:color w:val="4472C4" w:themeColor="accent1"/>
          <w:sz w:val="26"/>
          <w:szCs w:val="26"/>
          <w:lang w:val="en-GB"/>
        </w:rPr>
      </w:pPr>
      <w:bookmarkStart w:id="103" w:name="_Toc92277967"/>
      <w:bookmarkStart w:id="104" w:name="_Toc105333779"/>
      <w:r w:rsidRPr="006812AD">
        <w:rPr>
          <w:rFonts w:ascii="Roboto" w:hAnsi="Roboto" w:cs="Calibri"/>
          <w:b/>
          <w:bCs/>
          <w:color w:val="4472C4" w:themeColor="accent1"/>
          <w:sz w:val="26"/>
          <w:szCs w:val="26"/>
          <w:lang w:val="en-GB"/>
        </w:rPr>
        <w:lastRenderedPageBreak/>
        <w:t>CHAPTER 3: COOPERATION FRAMEWORK IMPLEMENTATION PLAN</w:t>
      </w:r>
      <w:bookmarkEnd w:id="103"/>
      <w:bookmarkEnd w:id="104"/>
      <w:r w:rsidRPr="006812AD">
        <w:rPr>
          <w:rFonts w:ascii="Roboto" w:hAnsi="Roboto" w:cs="Calibri"/>
          <w:b/>
          <w:bCs/>
          <w:color w:val="4472C4" w:themeColor="accent1"/>
          <w:sz w:val="26"/>
          <w:szCs w:val="26"/>
          <w:lang w:val="en-GB"/>
        </w:rPr>
        <w:t> </w:t>
      </w:r>
    </w:p>
    <w:p w14:paraId="0EBC1BE3" w14:textId="77777777" w:rsidR="007D3669" w:rsidRPr="003C206F" w:rsidRDefault="007D3669" w:rsidP="007D3669">
      <w:pPr>
        <w:rPr>
          <w:rFonts w:ascii="Roboto" w:hAnsi="Roboto" w:cs="Calibri"/>
          <w:b/>
          <w:color w:val="404040" w:themeColor="text1" w:themeTint="BF"/>
          <w:lang w:val="en-GB"/>
        </w:rPr>
      </w:pPr>
    </w:p>
    <w:p w14:paraId="618688D0" w14:textId="49DDA227" w:rsidR="007D3669" w:rsidRPr="00892373" w:rsidRDefault="007D3669" w:rsidP="007D3669">
      <w:pPr>
        <w:pStyle w:val="Heading2"/>
        <w:spacing w:before="0"/>
        <w:rPr>
          <w:rFonts w:ascii="Roboto" w:hAnsi="Roboto"/>
          <w:b/>
          <w:bCs/>
          <w:color w:val="404040" w:themeColor="text1" w:themeTint="BF"/>
          <w:lang w:val="en-GB"/>
        </w:rPr>
      </w:pPr>
      <w:bookmarkStart w:id="105" w:name="_Toc92277968"/>
      <w:bookmarkStart w:id="106" w:name="_Toc105333780"/>
      <w:r w:rsidRPr="00892373">
        <w:rPr>
          <w:rFonts w:ascii="Roboto" w:hAnsi="Roboto" w:cs="Calibri"/>
          <w:b/>
          <w:bCs/>
          <w:color w:val="404040" w:themeColor="text1" w:themeTint="BF"/>
          <w:sz w:val="24"/>
          <w:szCs w:val="24"/>
          <w:lang w:val="en-GB"/>
        </w:rPr>
        <w:t>3.1. UNSDCF Governance</w:t>
      </w:r>
      <w:bookmarkEnd w:id="105"/>
      <w:bookmarkEnd w:id="106"/>
    </w:p>
    <w:p w14:paraId="062F8B5D" w14:textId="77777777" w:rsidR="00640F88" w:rsidRPr="00892373" w:rsidRDefault="00640F88"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4DB139B5" w14:textId="48AD15DF" w:rsidR="00640F88" w:rsidRPr="007471D0" w:rsidRDefault="00640F88" w:rsidP="00464AC3">
      <w:pPr>
        <w:pStyle w:val="ListParagraph"/>
        <w:spacing w:after="160" w:line="256" w:lineRule="auto"/>
        <w:ind w:left="0"/>
        <w:jc w:val="both"/>
        <w:rPr>
          <w:rFonts w:ascii="Roboto" w:hAnsi="Roboto"/>
          <w:color w:val="404040" w:themeColor="text1" w:themeTint="BF"/>
          <w:sz w:val="21"/>
          <w:szCs w:val="21"/>
        </w:rPr>
      </w:pPr>
      <w:r w:rsidRPr="007471D0">
        <w:rPr>
          <w:rFonts w:ascii="Roboto" w:hAnsi="Roboto"/>
          <w:color w:val="404040" w:themeColor="text1" w:themeTint="BF"/>
          <w:sz w:val="21"/>
          <w:szCs w:val="21"/>
        </w:rPr>
        <w:t xml:space="preserve">In support of the Government’s national priorities, the implementation of the UNSDCF is coordinated through the </w:t>
      </w:r>
      <w:bookmarkStart w:id="107" w:name="_Hlk94097095"/>
      <w:r w:rsidR="00A96209" w:rsidRPr="007471D0">
        <w:rPr>
          <w:rFonts w:ascii="Roboto" w:hAnsi="Roboto"/>
          <w:color w:val="404040" w:themeColor="text1" w:themeTint="BF"/>
          <w:sz w:val="21"/>
          <w:szCs w:val="21"/>
        </w:rPr>
        <w:t xml:space="preserve">KSA’s </w:t>
      </w:r>
      <w:r w:rsidRPr="007471D0">
        <w:rPr>
          <w:rFonts w:ascii="Roboto" w:hAnsi="Roboto"/>
          <w:color w:val="404040" w:themeColor="text1" w:themeTint="BF"/>
          <w:sz w:val="21"/>
          <w:szCs w:val="21"/>
        </w:rPr>
        <w:t>Sustainable Development</w:t>
      </w:r>
      <w:bookmarkEnd w:id="107"/>
      <w:r w:rsidRPr="007471D0">
        <w:rPr>
          <w:rFonts w:ascii="Roboto" w:hAnsi="Roboto"/>
          <w:color w:val="404040" w:themeColor="text1" w:themeTint="BF"/>
          <w:sz w:val="21"/>
          <w:szCs w:val="21"/>
        </w:rPr>
        <w:t xml:space="preserve"> Steering Committee and bilaterally through Government Ministries and </w:t>
      </w:r>
      <w:r w:rsidR="0093362E" w:rsidRPr="007471D0">
        <w:rPr>
          <w:rFonts w:ascii="Roboto" w:hAnsi="Roboto"/>
          <w:color w:val="404040" w:themeColor="text1" w:themeTint="BF"/>
          <w:sz w:val="21"/>
          <w:szCs w:val="21"/>
        </w:rPr>
        <w:t>e</w:t>
      </w:r>
      <w:r w:rsidRPr="007471D0">
        <w:rPr>
          <w:rFonts w:ascii="Roboto" w:hAnsi="Roboto"/>
          <w:color w:val="404040" w:themeColor="text1" w:themeTint="BF"/>
          <w:sz w:val="21"/>
          <w:szCs w:val="21"/>
        </w:rPr>
        <w:t>ntities, through the Joint UN – Government of</w:t>
      </w:r>
      <w:r w:rsidR="0093362E" w:rsidRPr="007471D0">
        <w:rPr>
          <w:rFonts w:ascii="Roboto" w:hAnsi="Roboto"/>
          <w:color w:val="404040" w:themeColor="text1" w:themeTint="BF"/>
          <w:sz w:val="21"/>
          <w:szCs w:val="21"/>
        </w:rPr>
        <w:t xml:space="preserve"> the</w:t>
      </w:r>
      <w:r w:rsidRPr="007471D0">
        <w:rPr>
          <w:rFonts w:ascii="Roboto" w:hAnsi="Roboto"/>
          <w:color w:val="404040" w:themeColor="text1" w:themeTint="BF"/>
          <w:sz w:val="21"/>
          <w:szCs w:val="21"/>
        </w:rPr>
        <w:t xml:space="preserve"> KSA CF Committee, and internally through the UN’s </w:t>
      </w:r>
      <w:r w:rsidR="0093362E" w:rsidRPr="007471D0">
        <w:rPr>
          <w:rFonts w:ascii="Roboto" w:hAnsi="Roboto"/>
          <w:color w:val="404040" w:themeColor="text1" w:themeTint="BF"/>
          <w:sz w:val="21"/>
          <w:szCs w:val="21"/>
        </w:rPr>
        <w:t>I</w:t>
      </w:r>
      <w:r w:rsidRPr="007471D0">
        <w:rPr>
          <w:rFonts w:ascii="Roboto" w:hAnsi="Roboto"/>
          <w:color w:val="404040" w:themeColor="text1" w:themeTint="BF"/>
          <w:sz w:val="21"/>
          <w:szCs w:val="21"/>
        </w:rPr>
        <w:t xml:space="preserve">nternal </w:t>
      </w:r>
      <w:r w:rsidR="0093362E" w:rsidRPr="007471D0">
        <w:rPr>
          <w:rFonts w:ascii="Roboto" w:hAnsi="Roboto"/>
          <w:color w:val="404040" w:themeColor="text1" w:themeTint="BF"/>
          <w:sz w:val="21"/>
          <w:szCs w:val="21"/>
        </w:rPr>
        <w:t>G</w:t>
      </w:r>
      <w:r w:rsidRPr="007471D0">
        <w:rPr>
          <w:rFonts w:ascii="Roboto" w:hAnsi="Roboto"/>
          <w:color w:val="404040" w:themeColor="text1" w:themeTint="BF"/>
          <w:sz w:val="21"/>
          <w:szCs w:val="21"/>
        </w:rPr>
        <w:t xml:space="preserve">overnance and </w:t>
      </w:r>
      <w:r w:rsidR="0093362E" w:rsidRPr="007471D0">
        <w:rPr>
          <w:rFonts w:ascii="Roboto" w:hAnsi="Roboto"/>
          <w:color w:val="404040" w:themeColor="text1" w:themeTint="BF"/>
          <w:sz w:val="21"/>
          <w:szCs w:val="21"/>
        </w:rPr>
        <w:t>C</w:t>
      </w:r>
      <w:r w:rsidRPr="007471D0">
        <w:rPr>
          <w:rFonts w:ascii="Roboto" w:hAnsi="Roboto"/>
          <w:color w:val="404040" w:themeColor="text1" w:themeTint="BF"/>
          <w:sz w:val="21"/>
          <w:szCs w:val="21"/>
        </w:rPr>
        <w:t xml:space="preserve">oordination </w:t>
      </w:r>
      <w:r w:rsidR="0093362E" w:rsidRPr="007471D0">
        <w:rPr>
          <w:rFonts w:ascii="Roboto" w:hAnsi="Roboto"/>
          <w:color w:val="404040" w:themeColor="text1" w:themeTint="BF"/>
          <w:sz w:val="21"/>
          <w:szCs w:val="21"/>
        </w:rPr>
        <w:t>M</w:t>
      </w:r>
      <w:r w:rsidRPr="007471D0">
        <w:rPr>
          <w:rFonts w:ascii="Roboto" w:hAnsi="Roboto"/>
          <w:color w:val="404040" w:themeColor="text1" w:themeTint="BF"/>
          <w:sz w:val="21"/>
          <w:szCs w:val="21"/>
        </w:rPr>
        <w:t xml:space="preserve">echanisms. </w:t>
      </w:r>
    </w:p>
    <w:p w14:paraId="61C3C45C" w14:textId="4E32A4AC" w:rsidR="007D3669" w:rsidRPr="00892373" w:rsidRDefault="007D3669" w:rsidP="007D3669">
      <w:pPr>
        <w:rPr>
          <w:rFonts w:ascii="Roboto" w:hAnsi="Roboto"/>
          <w:b/>
          <w:bCs/>
          <w:color w:val="404040" w:themeColor="text1" w:themeTint="BF"/>
          <w:lang w:val="en-GB"/>
        </w:rPr>
      </w:pPr>
    </w:p>
    <w:p w14:paraId="220BC21B" w14:textId="2D1F0343" w:rsidR="00BB5E5D" w:rsidRPr="00892373" w:rsidRDefault="00BB5E5D" w:rsidP="007D3669">
      <w:pPr>
        <w:rPr>
          <w:rFonts w:ascii="Roboto" w:hAnsi="Roboto" w:cs="Calibri"/>
          <w:b/>
          <w:bCs/>
          <w:color w:val="404040" w:themeColor="text1" w:themeTint="BF"/>
          <w:sz w:val="21"/>
          <w:szCs w:val="21"/>
          <w:lang w:val="en-GB"/>
        </w:rPr>
      </w:pPr>
      <w:r w:rsidRPr="00892373">
        <w:rPr>
          <w:rFonts w:ascii="Roboto" w:hAnsi="Roboto" w:cs="Calibri"/>
          <w:b/>
          <w:bCs/>
          <w:color w:val="404040" w:themeColor="text1" w:themeTint="BF"/>
          <w:sz w:val="21"/>
          <w:szCs w:val="21"/>
          <w:lang w:val="en-GB"/>
        </w:rPr>
        <w:t xml:space="preserve">Figure 3.0: UNSDCF Governance </w:t>
      </w:r>
      <w:r w:rsidR="0093520B" w:rsidRPr="00892373">
        <w:rPr>
          <w:rFonts w:ascii="Roboto" w:hAnsi="Roboto" w:cs="Calibri"/>
          <w:b/>
          <w:bCs/>
          <w:color w:val="404040" w:themeColor="text1" w:themeTint="BF"/>
          <w:sz w:val="21"/>
          <w:szCs w:val="21"/>
          <w:lang w:val="en-GB"/>
        </w:rPr>
        <w:t>Structure</w:t>
      </w:r>
      <w:r w:rsidRPr="00892373">
        <w:rPr>
          <w:rFonts w:ascii="Roboto" w:hAnsi="Roboto" w:cs="Calibri"/>
          <w:b/>
          <w:bCs/>
          <w:color w:val="404040" w:themeColor="text1" w:themeTint="BF"/>
          <w:sz w:val="21"/>
          <w:szCs w:val="21"/>
          <w:lang w:val="en-GB"/>
        </w:rPr>
        <w:t>:</w:t>
      </w:r>
    </w:p>
    <w:p w14:paraId="2E50FB61" w14:textId="3D0DB710" w:rsidR="007D3669" w:rsidRDefault="007D3669" w:rsidP="00464AC3">
      <w:pPr>
        <w:jc w:val="center"/>
        <w:rPr>
          <w:rFonts w:ascii="Roboto" w:hAnsi="Roboto"/>
          <w:b/>
          <w:bCs/>
          <w:color w:val="404040" w:themeColor="text1" w:themeTint="BF"/>
          <w:lang w:val="en-GB"/>
        </w:rPr>
      </w:pPr>
    </w:p>
    <w:p w14:paraId="28344034" w14:textId="37D238A8" w:rsidR="00BB5E5D" w:rsidRDefault="00D937E9" w:rsidP="007D3669">
      <w:pPr>
        <w:rPr>
          <w:rFonts w:ascii="Roboto" w:hAnsi="Roboto"/>
          <w:b/>
          <w:bCs/>
          <w:color w:val="404040" w:themeColor="text1" w:themeTint="BF"/>
          <w:lang w:val="en-GB"/>
        </w:rPr>
      </w:pPr>
      <w:r w:rsidRPr="00D937E9">
        <w:rPr>
          <w:noProof/>
        </w:rPr>
        <w:drawing>
          <wp:inline distT="0" distB="0" distL="0" distR="0" wp14:anchorId="719BA841" wp14:editId="675EC348">
            <wp:extent cx="5727700" cy="30892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7700" cy="3089275"/>
                    </a:xfrm>
                    <a:prstGeom prst="rect">
                      <a:avLst/>
                    </a:prstGeom>
                    <a:noFill/>
                    <a:ln>
                      <a:noFill/>
                    </a:ln>
                  </pic:spPr>
                </pic:pic>
              </a:graphicData>
            </a:graphic>
          </wp:inline>
        </w:drawing>
      </w:r>
    </w:p>
    <w:p w14:paraId="1646DCD0" w14:textId="0D9DC922" w:rsidR="00BB5E5D" w:rsidRDefault="00BB5E5D" w:rsidP="007D3669">
      <w:pPr>
        <w:rPr>
          <w:rFonts w:ascii="Roboto" w:hAnsi="Roboto"/>
          <w:b/>
          <w:bCs/>
          <w:color w:val="404040" w:themeColor="text1" w:themeTint="BF"/>
          <w:lang w:val="en-GB"/>
        </w:rPr>
      </w:pPr>
    </w:p>
    <w:p w14:paraId="66E5DC21" w14:textId="306D8F84" w:rsidR="00640F88" w:rsidRPr="00892373" w:rsidRDefault="00640F88" w:rsidP="00227704">
      <w:pPr>
        <w:jc w:val="both"/>
        <w:rPr>
          <w:rFonts w:ascii="Roboto" w:hAnsi="Roboto" w:cs="Calibri"/>
          <w:b/>
          <w:bCs/>
          <w:color w:val="404040" w:themeColor="text1" w:themeTint="BF"/>
          <w:sz w:val="21"/>
          <w:szCs w:val="21"/>
          <w:lang w:val="en-GB"/>
        </w:rPr>
      </w:pPr>
      <w:r w:rsidRPr="00892373">
        <w:rPr>
          <w:rFonts w:ascii="Roboto" w:hAnsi="Roboto" w:cs="Calibri"/>
          <w:b/>
          <w:bCs/>
          <w:color w:val="404040" w:themeColor="text1" w:themeTint="BF"/>
          <w:sz w:val="21"/>
          <w:szCs w:val="21"/>
          <w:lang w:val="en-GB"/>
        </w:rPr>
        <w:t xml:space="preserve">The </w:t>
      </w:r>
      <w:r w:rsidR="00A96209" w:rsidRPr="00892373">
        <w:rPr>
          <w:rFonts w:ascii="Roboto" w:hAnsi="Roboto" w:cs="Calibri"/>
          <w:b/>
          <w:bCs/>
          <w:color w:val="404040" w:themeColor="text1" w:themeTint="BF"/>
          <w:sz w:val="21"/>
          <w:szCs w:val="21"/>
          <w:lang w:val="en-GB"/>
        </w:rPr>
        <w:t xml:space="preserve">KSA’s </w:t>
      </w:r>
      <w:r w:rsidRPr="00892373">
        <w:rPr>
          <w:rFonts w:ascii="Roboto" w:hAnsi="Roboto" w:cs="Calibri"/>
          <w:b/>
          <w:bCs/>
          <w:color w:val="404040" w:themeColor="text1" w:themeTint="BF"/>
          <w:sz w:val="21"/>
          <w:szCs w:val="21"/>
          <w:lang w:val="en-GB"/>
        </w:rPr>
        <w:t>Sustainable Development Steering Committee</w:t>
      </w:r>
    </w:p>
    <w:p w14:paraId="1B038DBB" w14:textId="77777777" w:rsidR="00DD16CD" w:rsidRPr="007471D0" w:rsidRDefault="00DD16CD" w:rsidP="00640F88">
      <w:pPr>
        <w:pStyle w:val="ListParagraph"/>
        <w:spacing w:after="160" w:line="256" w:lineRule="auto"/>
        <w:ind w:left="0"/>
        <w:rPr>
          <w:rFonts w:ascii="Roboto" w:hAnsi="Roboto"/>
          <w:b/>
          <w:bCs/>
          <w:color w:val="404040" w:themeColor="text1" w:themeTint="BF"/>
          <w:sz w:val="21"/>
          <w:szCs w:val="21"/>
        </w:rPr>
      </w:pPr>
    </w:p>
    <w:p w14:paraId="7E0A690F" w14:textId="77777777" w:rsidR="00D937E9" w:rsidRDefault="00D937E9" w:rsidP="00D937E9">
      <w:pPr>
        <w:pStyle w:val="ListParagraph"/>
        <w:spacing w:after="160" w:line="256" w:lineRule="auto"/>
        <w:ind w:left="0"/>
        <w:jc w:val="both"/>
        <w:rPr>
          <w:rFonts w:ascii="Roboto" w:hAnsi="Roboto" w:cs="Calibri"/>
          <w:color w:val="404040" w:themeColor="text1" w:themeTint="BF"/>
          <w:sz w:val="21"/>
          <w:szCs w:val="21"/>
        </w:rPr>
      </w:pPr>
      <w:r>
        <w:rPr>
          <w:rFonts w:ascii="Roboto" w:hAnsi="Roboto" w:cs="Calibri"/>
          <w:color w:val="404040" w:themeColor="text1" w:themeTint="BF"/>
          <w:sz w:val="21"/>
          <w:szCs w:val="21"/>
          <w:lang w:val="en-GB"/>
        </w:rPr>
        <w:t>The</w:t>
      </w:r>
      <w:r w:rsidRPr="00B45BC1">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Sustainable Development</w:t>
      </w:r>
      <w:r w:rsidRPr="00B45BC1">
        <w:rPr>
          <w:rFonts w:ascii="Roboto" w:hAnsi="Roboto" w:cs="Calibri"/>
          <w:color w:val="404040" w:themeColor="text1" w:themeTint="BF"/>
          <w:sz w:val="21"/>
          <w:szCs w:val="21"/>
          <w:lang w:val="en-GB"/>
        </w:rPr>
        <w:t xml:space="preserve"> Steering Committee</w:t>
      </w:r>
      <w:r>
        <w:rPr>
          <w:rFonts w:ascii="Roboto" w:hAnsi="Roboto" w:cs="Calibri"/>
          <w:color w:val="404040" w:themeColor="text1" w:themeTint="BF"/>
          <w:sz w:val="21"/>
          <w:szCs w:val="21"/>
          <w:lang w:val="en-GB"/>
        </w:rPr>
        <w:t xml:space="preserve">, was established in September 2021 by a royal mandate, headed by </w:t>
      </w:r>
      <w:r>
        <w:rPr>
          <w:rFonts w:ascii="Roboto" w:hAnsi="Roboto" w:cs="Calibri"/>
          <w:color w:val="404040" w:themeColor="text1" w:themeTint="BF"/>
          <w:sz w:val="21"/>
          <w:szCs w:val="21"/>
        </w:rPr>
        <w:t>t</w:t>
      </w:r>
      <w:r w:rsidRPr="004434D1">
        <w:rPr>
          <w:rFonts w:ascii="Roboto" w:hAnsi="Roboto" w:cs="Calibri"/>
          <w:color w:val="404040" w:themeColor="text1" w:themeTint="BF"/>
          <w:sz w:val="21"/>
          <w:szCs w:val="21"/>
        </w:rPr>
        <w:t xml:space="preserve">he Ministry of Economy and Planning, </w:t>
      </w:r>
      <w:r>
        <w:rPr>
          <w:rFonts w:ascii="Roboto" w:hAnsi="Roboto" w:cs="Calibri"/>
          <w:color w:val="404040" w:themeColor="text1" w:themeTint="BF"/>
          <w:sz w:val="21"/>
          <w:szCs w:val="21"/>
        </w:rPr>
        <w:t xml:space="preserve">and </w:t>
      </w:r>
      <w:r w:rsidRPr="004434D1">
        <w:rPr>
          <w:rFonts w:ascii="Roboto" w:hAnsi="Roboto" w:cs="Calibri"/>
          <w:color w:val="404040" w:themeColor="text1" w:themeTint="BF"/>
          <w:sz w:val="21"/>
          <w:szCs w:val="21"/>
          <w:lang w:val="en-GB"/>
        </w:rPr>
        <w:t>the participation of</w:t>
      </w:r>
      <w:r>
        <w:rPr>
          <w:rFonts w:ascii="Roboto" w:hAnsi="Roboto" w:cs="Calibri"/>
          <w:color w:val="404040" w:themeColor="text1" w:themeTint="BF"/>
          <w:sz w:val="21"/>
          <w:szCs w:val="21"/>
          <w:lang w:val="en-GB"/>
        </w:rPr>
        <w:t xml:space="preserve"> 18 key government entities </w:t>
      </w:r>
      <w:r w:rsidRPr="00B45BC1">
        <w:rPr>
          <w:rFonts w:ascii="Roboto" w:hAnsi="Roboto" w:cs="Calibri"/>
          <w:color w:val="404040" w:themeColor="text1" w:themeTint="BF"/>
          <w:sz w:val="21"/>
          <w:szCs w:val="21"/>
          <w:lang w:val="en-GB"/>
        </w:rPr>
        <w:t xml:space="preserve">to oversee the implementation of </w:t>
      </w:r>
      <w:r>
        <w:rPr>
          <w:rFonts w:ascii="Roboto" w:hAnsi="Roboto" w:cs="Calibri"/>
          <w:color w:val="404040" w:themeColor="text1" w:themeTint="BF"/>
          <w:sz w:val="21"/>
          <w:szCs w:val="21"/>
          <w:lang w:val="en-GB"/>
        </w:rPr>
        <w:t>Sustainable Development Goals</w:t>
      </w:r>
      <w:r w:rsidRPr="00B45BC1">
        <w:rPr>
          <w:rFonts w:ascii="Roboto" w:hAnsi="Roboto" w:cs="Calibri"/>
          <w:color w:val="404040" w:themeColor="text1" w:themeTint="BF"/>
          <w:sz w:val="21"/>
          <w:szCs w:val="21"/>
          <w:lang w:val="en-GB"/>
        </w:rPr>
        <w:t>,</w:t>
      </w:r>
      <w:r>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rPr>
        <w:t>and</w:t>
      </w:r>
      <w:r w:rsidRPr="004434D1">
        <w:rPr>
          <w:rFonts w:ascii="Roboto" w:hAnsi="Roboto" w:cs="Calibri"/>
          <w:color w:val="404040" w:themeColor="text1" w:themeTint="BF"/>
          <w:sz w:val="21"/>
          <w:szCs w:val="21"/>
        </w:rPr>
        <w:t xml:space="preserve"> build a strong and durable policy ecosystem that allows for the mutually beneficial participation of all relevant parties in our collective pursuit of the </w:t>
      </w:r>
      <w:r>
        <w:rPr>
          <w:rFonts w:ascii="Roboto" w:hAnsi="Roboto" w:cs="Calibri"/>
          <w:color w:val="404040" w:themeColor="text1" w:themeTint="BF"/>
          <w:sz w:val="21"/>
          <w:szCs w:val="21"/>
        </w:rPr>
        <w:t>Sustainble Development</w:t>
      </w:r>
      <w:r w:rsidRPr="004434D1">
        <w:rPr>
          <w:rFonts w:ascii="Roboto" w:hAnsi="Roboto" w:cs="Calibri"/>
          <w:color w:val="404040" w:themeColor="text1" w:themeTint="BF"/>
          <w:sz w:val="21"/>
          <w:szCs w:val="21"/>
        </w:rPr>
        <w:t xml:space="preserve"> Agenda</w:t>
      </w:r>
      <w:r>
        <w:rPr>
          <w:rFonts w:ascii="Roboto" w:hAnsi="Roboto" w:cs="Calibri"/>
          <w:color w:val="404040" w:themeColor="text1" w:themeTint="BF"/>
          <w:sz w:val="21"/>
          <w:szCs w:val="21"/>
        </w:rPr>
        <w:t xml:space="preserve"> 2030</w:t>
      </w:r>
      <w:r w:rsidRPr="004434D1">
        <w:rPr>
          <w:rFonts w:ascii="Roboto" w:hAnsi="Roboto" w:cs="Calibri"/>
          <w:color w:val="404040" w:themeColor="text1" w:themeTint="BF"/>
          <w:sz w:val="21"/>
          <w:szCs w:val="21"/>
        </w:rPr>
        <w:t xml:space="preserve">. </w:t>
      </w:r>
    </w:p>
    <w:p w14:paraId="706D5A62" w14:textId="77777777" w:rsidR="00D937E9" w:rsidRPr="00B45BC1" w:rsidRDefault="00D937E9" w:rsidP="00D937E9">
      <w:pPr>
        <w:spacing w:after="160" w:line="256" w:lineRule="auto"/>
        <w:jc w:val="both"/>
        <w:rPr>
          <w:rFonts w:ascii="Roboto" w:hAnsi="Roboto" w:cs="Calibri"/>
          <w:color w:val="404040" w:themeColor="text1" w:themeTint="BF"/>
          <w:sz w:val="21"/>
          <w:szCs w:val="21"/>
        </w:rPr>
      </w:pPr>
      <w:r w:rsidRPr="00B45BC1">
        <w:rPr>
          <w:rFonts w:ascii="Roboto" w:hAnsi="Roboto" w:cs="Calibri"/>
          <w:color w:val="404040" w:themeColor="text1" w:themeTint="BF"/>
          <w:sz w:val="21"/>
          <w:szCs w:val="21"/>
        </w:rPr>
        <w:t xml:space="preserve">The SDSC </w:t>
      </w:r>
      <w:r>
        <w:rPr>
          <w:rFonts w:ascii="Roboto" w:hAnsi="Roboto" w:cs="Calibri"/>
          <w:color w:val="404040" w:themeColor="text1" w:themeTint="BF"/>
          <w:sz w:val="21"/>
          <w:szCs w:val="21"/>
        </w:rPr>
        <w:t>core tasks include</w:t>
      </w:r>
      <w:r w:rsidRPr="00B45BC1">
        <w:rPr>
          <w:rFonts w:ascii="Roboto" w:hAnsi="Roboto" w:cs="Calibri"/>
          <w:color w:val="404040" w:themeColor="text1" w:themeTint="BF"/>
          <w:sz w:val="21"/>
          <w:szCs w:val="21"/>
        </w:rPr>
        <w:t>:</w:t>
      </w:r>
    </w:p>
    <w:p w14:paraId="2E315E35" w14:textId="77777777" w:rsidR="00D937E9" w:rsidRPr="004434D1"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Submit policy recommendations and ensure alignment with ongoing national policy initiatives</w:t>
      </w:r>
    </w:p>
    <w:p w14:paraId="36F7F3CB" w14:textId="77777777" w:rsidR="00D937E9" w:rsidRPr="004434D1"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 xml:space="preserve">Supervise working groups focused on developing policies </w:t>
      </w:r>
    </w:p>
    <w:p w14:paraId="615072BC" w14:textId="77777777" w:rsidR="00D937E9" w:rsidRPr="004434D1"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Coordinate policy recommendations initiatives to reach sustainable development goals</w:t>
      </w:r>
    </w:p>
    <w:p w14:paraId="664E74C8" w14:textId="77777777" w:rsidR="00D937E9" w:rsidRPr="004434D1"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 xml:space="preserve">Align external engagement efforts </w:t>
      </w:r>
    </w:p>
    <w:p w14:paraId="6AE2F85E" w14:textId="77777777" w:rsidR="00D937E9"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Review and publish regular reports presenting the progress update for sustainable development</w:t>
      </w:r>
    </w:p>
    <w:p w14:paraId="205F1494" w14:textId="77777777" w:rsidR="00D937E9" w:rsidRPr="00B45BC1" w:rsidRDefault="00D937E9" w:rsidP="00D937E9">
      <w:pPr>
        <w:pStyle w:val="ListParagraph"/>
        <w:numPr>
          <w:ilvl w:val="0"/>
          <w:numId w:val="43"/>
        </w:numPr>
        <w:spacing w:after="160" w:line="256" w:lineRule="auto"/>
        <w:jc w:val="both"/>
        <w:rPr>
          <w:rFonts w:ascii="Roboto" w:hAnsi="Roboto" w:cs="Calibri"/>
          <w:color w:val="404040" w:themeColor="text1" w:themeTint="BF"/>
          <w:sz w:val="21"/>
          <w:szCs w:val="21"/>
        </w:rPr>
      </w:pPr>
      <w:r w:rsidRPr="004434D1">
        <w:rPr>
          <w:rFonts w:ascii="Roboto" w:hAnsi="Roboto" w:cs="Calibri"/>
          <w:color w:val="404040" w:themeColor="text1" w:themeTint="BF"/>
          <w:sz w:val="21"/>
          <w:szCs w:val="21"/>
        </w:rPr>
        <w:t>Enable the sustainability ecosystem in Saudi Arabia thanks to strategic enablers around communication, capacity building financing and innovation</w:t>
      </w:r>
    </w:p>
    <w:p w14:paraId="1B3AC0E5" w14:textId="13D8D1C5"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4D5FD084" w14:textId="12F999EE" w:rsidR="00640F88" w:rsidRPr="007471D0" w:rsidRDefault="00640F88" w:rsidP="00227704">
      <w:pPr>
        <w:jc w:val="both"/>
        <w:rPr>
          <w:rFonts w:ascii="Roboto" w:hAnsi="Roboto"/>
          <w:b/>
          <w:bCs/>
          <w:color w:val="404040" w:themeColor="text1" w:themeTint="BF"/>
          <w:sz w:val="21"/>
          <w:szCs w:val="21"/>
        </w:rPr>
      </w:pPr>
      <w:r w:rsidRPr="00892373">
        <w:rPr>
          <w:rFonts w:ascii="Roboto" w:hAnsi="Roboto" w:cs="Calibri"/>
          <w:b/>
          <w:bCs/>
          <w:color w:val="404040" w:themeColor="text1" w:themeTint="BF"/>
          <w:sz w:val="21"/>
          <w:szCs w:val="21"/>
          <w:lang w:val="en-GB"/>
        </w:rPr>
        <w:lastRenderedPageBreak/>
        <w:t>The Joint UN – Government of KSA Cooperation Framework Committee</w:t>
      </w:r>
    </w:p>
    <w:p w14:paraId="6FCF39BB" w14:textId="77777777"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7BE6BCB5" w14:textId="19CCE23B" w:rsidR="00640F88" w:rsidRPr="007471D0" w:rsidRDefault="00640F88" w:rsidP="00464AC3">
      <w:pPr>
        <w:pStyle w:val="ListParagraph"/>
        <w:spacing w:after="160" w:line="256" w:lineRule="auto"/>
        <w:ind w:left="0"/>
        <w:jc w:val="both"/>
        <w:rPr>
          <w:rFonts w:ascii="Roboto" w:hAnsi="Roboto"/>
          <w:color w:val="404040" w:themeColor="text1" w:themeTint="BF"/>
          <w:sz w:val="21"/>
          <w:szCs w:val="21"/>
        </w:rPr>
      </w:pPr>
      <w:r w:rsidRPr="00892373">
        <w:rPr>
          <w:rFonts w:ascii="Roboto" w:hAnsi="Roboto" w:cs="Calibri"/>
          <w:color w:val="404040" w:themeColor="text1" w:themeTint="BF"/>
          <w:sz w:val="21"/>
          <w:szCs w:val="21"/>
          <w:lang w:val="en-GB"/>
        </w:rPr>
        <w:t>The Joint UN – Government of the KSA Cooperation Framework (CF) Committee</w:t>
      </w:r>
      <w:r w:rsidR="00BD02F6" w:rsidRPr="00892373">
        <w:rPr>
          <w:rFonts w:ascii="Roboto" w:hAnsi="Roboto" w:cs="Calibri"/>
          <w:color w:val="404040" w:themeColor="text1" w:themeTint="BF"/>
          <w:sz w:val="21"/>
          <w:szCs w:val="21"/>
          <w:lang w:val="en-GB"/>
        </w:rPr>
        <w:t>,</w:t>
      </w:r>
      <w:r w:rsidRPr="00892373">
        <w:rPr>
          <w:rFonts w:ascii="Roboto" w:hAnsi="Roboto" w:cs="Calibri"/>
          <w:color w:val="404040" w:themeColor="text1" w:themeTint="BF"/>
          <w:sz w:val="21"/>
          <w:szCs w:val="21"/>
          <w:lang w:val="en-GB"/>
        </w:rPr>
        <w:t xml:space="preserve"> is co-chaired by the signatories</w:t>
      </w:r>
      <w:r w:rsidR="007371D5" w:rsidRPr="00892373">
        <w:rPr>
          <w:rFonts w:ascii="Roboto" w:hAnsi="Roboto" w:cs="Calibri"/>
          <w:color w:val="404040" w:themeColor="text1" w:themeTint="BF"/>
          <w:sz w:val="21"/>
          <w:szCs w:val="21"/>
          <w:lang w:val="en-GB"/>
        </w:rPr>
        <w:t xml:space="preserve"> of the Joint Statement</w:t>
      </w:r>
      <w:r w:rsidRPr="00892373">
        <w:rPr>
          <w:rFonts w:ascii="Roboto" w:hAnsi="Roboto" w:cs="Calibri"/>
          <w:color w:val="404040" w:themeColor="text1" w:themeTint="BF"/>
          <w:sz w:val="21"/>
          <w:szCs w:val="21"/>
          <w:lang w:val="en-GB"/>
        </w:rPr>
        <w:t xml:space="preserve"> of the </w:t>
      </w:r>
      <w:r w:rsidR="00BD02F6" w:rsidRPr="00892373">
        <w:rPr>
          <w:rFonts w:ascii="Roboto" w:hAnsi="Roboto" w:cs="Calibri"/>
          <w:color w:val="404040" w:themeColor="text1" w:themeTint="BF"/>
          <w:sz w:val="21"/>
          <w:szCs w:val="21"/>
          <w:lang w:val="en-GB"/>
        </w:rPr>
        <w:t>UNSD</w:t>
      </w:r>
      <w:r w:rsidRPr="00892373">
        <w:rPr>
          <w:rFonts w:ascii="Roboto" w:hAnsi="Roboto" w:cs="Calibri"/>
          <w:color w:val="404040" w:themeColor="text1" w:themeTint="BF"/>
          <w:sz w:val="21"/>
          <w:szCs w:val="21"/>
          <w:lang w:val="en-GB"/>
        </w:rPr>
        <w:t xml:space="preserve">CF - representatives of the Government and the UN Resident Coordinator (RC) for the KSA. The CF Committee will be comprised of relevant Government representatives and UNCT members. The CF Committee may </w:t>
      </w:r>
      <w:r w:rsidRPr="007471D0">
        <w:rPr>
          <w:rFonts w:ascii="Roboto" w:hAnsi="Roboto"/>
          <w:color w:val="404040" w:themeColor="text1" w:themeTint="BF"/>
          <w:sz w:val="21"/>
          <w:szCs w:val="21"/>
        </w:rPr>
        <w:t>invite observers or topical advisors as required.</w:t>
      </w:r>
    </w:p>
    <w:p w14:paraId="5DE25CAB" w14:textId="77777777" w:rsidR="00640F88" w:rsidRPr="007471D0" w:rsidRDefault="00640F88" w:rsidP="00464AC3">
      <w:pPr>
        <w:pStyle w:val="ListParagraph"/>
        <w:spacing w:after="160" w:line="256" w:lineRule="auto"/>
        <w:ind w:left="0"/>
        <w:jc w:val="both"/>
        <w:rPr>
          <w:rFonts w:ascii="Roboto" w:hAnsi="Roboto"/>
          <w:color w:val="404040" w:themeColor="text1" w:themeTint="BF"/>
          <w:sz w:val="21"/>
          <w:szCs w:val="21"/>
        </w:rPr>
      </w:pPr>
    </w:p>
    <w:p w14:paraId="2B00AF6A" w14:textId="5D3D38BE" w:rsidR="00640F88" w:rsidRPr="007471D0" w:rsidRDefault="00640F88" w:rsidP="00464AC3">
      <w:pPr>
        <w:pStyle w:val="ListParagraph"/>
        <w:spacing w:after="160" w:line="256" w:lineRule="auto"/>
        <w:ind w:left="0"/>
        <w:jc w:val="both"/>
        <w:rPr>
          <w:rFonts w:ascii="Roboto" w:hAnsi="Roboto"/>
          <w:color w:val="404040" w:themeColor="text1" w:themeTint="BF"/>
          <w:sz w:val="21"/>
          <w:szCs w:val="21"/>
        </w:rPr>
      </w:pPr>
      <w:r w:rsidRPr="007471D0">
        <w:rPr>
          <w:rFonts w:ascii="Roboto" w:hAnsi="Roboto"/>
          <w:color w:val="404040" w:themeColor="text1" w:themeTint="BF"/>
          <w:sz w:val="21"/>
          <w:szCs w:val="21"/>
        </w:rPr>
        <w:t>The CF Committee will meet at least once a year and will be responsible for reviewing the effective implementation of the UN</w:t>
      </w:r>
      <w:r w:rsidR="00BD02F6" w:rsidRPr="007471D0">
        <w:rPr>
          <w:rFonts w:ascii="Roboto" w:hAnsi="Roboto"/>
          <w:color w:val="404040" w:themeColor="text1" w:themeTint="BF"/>
          <w:sz w:val="21"/>
          <w:szCs w:val="21"/>
        </w:rPr>
        <w:t>SDCF</w:t>
      </w:r>
      <w:r w:rsidRPr="007471D0">
        <w:rPr>
          <w:rFonts w:ascii="Roboto" w:hAnsi="Roboto"/>
          <w:color w:val="404040" w:themeColor="text1" w:themeTint="BF"/>
          <w:sz w:val="21"/>
          <w:szCs w:val="21"/>
        </w:rPr>
        <w:t xml:space="preserve"> and ensuring that the </w:t>
      </w:r>
      <w:r w:rsidR="00BD02F6" w:rsidRPr="007471D0">
        <w:rPr>
          <w:rFonts w:ascii="Roboto" w:hAnsi="Roboto"/>
          <w:color w:val="404040" w:themeColor="text1" w:themeTint="BF"/>
          <w:sz w:val="21"/>
          <w:szCs w:val="21"/>
        </w:rPr>
        <w:t>UNSD</w:t>
      </w:r>
      <w:r w:rsidRPr="007471D0">
        <w:rPr>
          <w:rFonts w:ascii="Roboto" w:hAnsi="Roboto"/>
          <w:color w:val="404040" w:themeColor="text1" w:themeTint="BF"/>
          <w:sz w:val="21"/>
          <w:szCs w:val="21"/>
        </w:rPr>
        <w:t xml:space="preserve">CF remains focused on the evolving national priorities as defined through the </w:t>
      </w:r>
      <w:r w:rsidR="008951E0" w:rsidRPr="007471D0">
        <w:rPr>
          <w:rFonts w:ascii="Roboto" w:hAnsi="Roboto"/>
          <w:color w:val="404040" w:themeColor="text1" w:themeTint="BF"/>
          <w:sz w:val="21"/>
          <w:szCs w:val="21"/>
        </w:rPr>
        <w:t xml:space="preserve">KSA’s </w:t>
      </w:r>
      <w:r w:rsidRPr="007471D0">
        <w:rPr>
          <w:rFonts w:ascii="Roboto" w:hAnsi="Roboto"/>
          <w:color w:val="404040" w:themeColor="text1" w:themeTint="BF"/>
          <w:sz w:val="21"/>
          <w:szCs w:val="21"/>
        </w:rPr>
        <w:t xml:space="preserve">Sustainable Development Steering Committee (SDSC). </w:t>
      </w:r>
      <w:r w:rsidRPr="00892373">
        <w:rPr>
          <w:rFonts w:ascii="Roboto" w:hAnsi="Roboto" w:cs="Calibri"/>
          <w:color w:val="404040" w:themeColor="text1" w:themeTint="BF"/>
          <w:sz w:val="21"/>
          <w:szCs w:val="21"/>
          <w:lang w:val="en-GB"/>
        </w:rPr>
        <w:t xml:space="preserve">The CF Committee’s core tasks </w:t>
      </w:r>
      <w:r w:rsidRPr="007471D0">
        <w:rPr>
          <w:rFonts w:ascii="Roboto" w:hAnsi="Roboto"/>
          <w:color w:val="404040" w:themeColor="text1" w:themeTint="BF"/>
          <w:sz w:val="21"/>
          <w:szCs w:val="21"/>
        </w:rPr>
        <w:t xml:space="preserve">include: </w:t>
      </w:r>
    </w:p>
    <w:p w14:paraId="54563FE9" w14:textId="414373C5" w:rsidR="00640F88" w:rsidRPr="007471D0" w:rsidRDefault="00640F88" w:rsidP="00640F88">
      <w:pPr>
        <w:pStyle w:val="ListParagraph"/>
        <w:numPr>
          <w:ilvl w:val="0"/>
          <w:numId w:val="38"/>
        </w:numPr>
        <w:spacing w:after="160" w:line="256" w:lineRule="auto"/>
        <w:rPr>
          <w:rFonts w:ascii="Roboto" w:hAnsi="Roboto"/>
          <w:b/>
          <w:bCs/>
          <w:color w:val="404040" w:themeColor="text1" w:themeTint="BF"/>
          <w:sz w:val="21"/>
          <w:szCs w:val="21"/>
        </w:rPr>
      </w:pPr>
      <w:r w:rsidRPr="007471D0">
        <w:rPr>
          <w:rFonts w:ascii="Roboto" w:hAnsi="Roboto"/>
          <w:color w:val="404040" w:themeColor="text1" w:themeTint="BF"/>
          <w:sz w:val="21"/>
          <w:szCs w:val="21"/>
        </w:rPr>
        <w:t xml:space="preserve">Review </w:t>
      </w:r>
      <w:r w:rsidR="003B5EE8" w:rsidRPr="007471D0">
        <w:rPr>
          <w:rFonts w:ascii="Roboto" w:hAnsi="Roboto"/>
          <w:color w:val="404040" w:themeColor="text1" w:themeTint="BF"/>
          <w:sz w:val="21"/>
          <w:szCs w:val="21"/>
        </w:rPr>
        <w:t>the results of the Annual Performance Review of activities delivered by UN entities in cooperation with the</w:t>
      </w:r>
      <w:r w:rsidRPr="007471D0">
        <w:rPr>
          <w:rFonts w:ascii="Roboto" w:hAnsi="Roboto"/>
          <w:color w:val="404040" w:themeColor="text1" w:themeTint="BF"/>
          <w:sz w:val="21"/>
          <w:szCs w:val="21"/>
        </w:rPr>
        <w:t xml:space="preserve"> </w:t>
      </w:r>
      <w:r w:rsidR="003B5EE8" w:rsidRPr="007471D0">
        <w:rPr>
          <w:rFonts w:ascii="Roboto" w:hAnsi="Roboto"/>
          <w:color w:val="404040" w:themeColor="text1" w:themeTint="BF"/>
          <w:sz w:val="21"/>
          <w:szCs w:val="21"/>
        </w:rPr>
        <w:t>KSA’s</w:t>
      </w:r>
      <w:r w:rsidRPr="007471D0">
        <w:rPr>
          <w:rFonts w:ascii="Roboto" w:hAnsi="Roboto"/>
          <w:color w:val="404040" w:themeColor="text1" w:themeTint="BF"/>
          <w:sz w:val="21"/>
          <w:szCs w:val="21"/>
        </w:rPr>
        <w:t xml:space="preserve"> </w:t>
      </w:r>
      <w:r w:rsidR="003B5EE8" w:rsidRPr="007471D0">
        <w:rPr>
          <w:rFonts w:ascii="Roboto" w:hAnsi="Roboto"/>
          <w:color w:val="404040" w:themeColor="text1" w:themeTint="BF"/>
          <w:sz w:val="21"/>
          <w:szCs w:val="21"/>
        </w:rPr>
        <w:t>G</w:t>
      </w:r>
      <w:r w:rsidRPr="007471D0">
        <w:rPr>
          <w:rFonts w:ascii="Roboto" w:hAnsi="Roboto"/>
          <w:color w:val="404040" w:themeColor="text1" w:themeTint="BF"/>
          <w:sz w:val="21"/>
          <w:szCs w:val="21"/>
        </w:rPr>
        <w:t>overnment entities.</w:t>
      </w:r>
    </w:p>
    <w:p w14:paraId="0BDEB5A6" w14:textId="346B2C8C" w:rsidR="00640F88" w:rsidRPr="007471D0" w:rsidRDefault="00640F88" w:rsidP="00640F88">
      <w:pPr>
        <w:pStyle w:val="ListParagraph"/>
        <w:numPr>
          <w:ilvl w:val="0"/>
          <w:numId w:val="38"/>
        </w:numPr>
        <w:spacing w:after="160" w:line="256" w:lineRule="auto"/>
        <w:rPr>
          <w:rFonts w:ascii="Roboto" w:hAnsi="Roboto"/>
          <w:b/>
          <w:bCs/>
          <w:color w:val="404040" w:themeColor="text1" w:themeTint="BF"/>
          <w:sz w:val="21"/>
          <w:szCs w:val="21"/>
        </w:rPr>
      </w:pPr>
      <w:r w:rsidRPr="007471D0">
        <w:rPr>
          <w:rFonts w:ascii="Roboto" w:hAnsi="Roboto"/>
          <w:color w:val="404040" w:themeColor="text1" w:themeTint="BF"/>
          <w:sz w:val="21"/>
          <w:szCs w:val="21"/>
        </w:rPr>
        <w:t xml:space="preserve">Translation of recommendations of the </w:t>
      </w:r>
      <w:r w:rsidR="008951E0" w:rsidRPr="007471D0">
        <w:rPr>
          <w:rFonts w:ascii="Roboto" w:hAnsi="Roboto"/>
          <w:color w:val="404040" w:themeColor="text1" w:themeTint="BF"/>
          <w:sz w:val="21"/>
          <w:szCs w:val="21"/>
        </w:rPr>
        <w:t xml:space="preserve">KSA’s </w:t>
      </w:r>
      <w:r w:rsidRPr="007471D0">
        <w:rPr>
          <w:rFonts w:ascii="Roboto" w:hAnsi="Roboto"/>
          <w:color w:val="404040" w:themeColor="text1" w:themeTint="BF"/>
          <w:sz w:val="21"/>
          <w:szCs w:val="21"/>
        </w:rPr>
        <w:t xml:space="preserve">Sustainable Development Steering Committee into potential action through the </w:t>
      </w:r>
      <w:r w:rsidR="003B5EE8" w:rsidRPr="007471D0">
        <w:rPr>
          <w:rFonts w:ascii="Roboto" w:hAnsi="Roboto"/>
          <w:color w:val="404040" w:themeColor="text1" w:themeTint="BF"/>
          <w:sz w:val="21"/>
          <w:szCs w:val="21"/>
        </w:rPr>
        <w:t>UNSD</w:t>
      </w:r>
      <w:r w:rsidRPr="007471D0">
        <w:rPr>
          <w:rFonts w:ascii="Roboto" w:hAnsi="Roboto"/>
          <w:color w:val="404040" w:themeColor="text1" w:themeTint="BF"/>
          <w:sz w:val="21"/>
          <w:szCs w:val="21"/>
        </w:rPr>
        <w:t>CF.</w:t>
      </w:r>
    </w:p>
    <w:p w14:paraId="79EB5946" w14:textId="77777777" w:rsidR="00640F88" w:rsidRPr="007471D0" w:rsidRDefault="00640F88" w:rsidP="00640F88">
      <w:pPr>
        <w:pStyle w:val="ListParagraph"/>
        <w:numPr>
          <w:ilvl w:val="0"/>
          <w:numId w:val="38"/>
        </w:numPr>
        <w:spacing w:after="160" w:line="256" w:lineRule="auto"/>
        <w:rPr>
          <w:rFonts w:ascii="Roboto" w:hAnsi="Roboto"/>
          <w:b/>
          <w:bCs/>
          <w:color w:val="404040" w:themeColor="text1" w:themeTint="BF"/>
          <w:sz w:val="21"/>
          <w:szCs w:val="21"/>
        </w:rPr>
      </w:pPr>
      <w:r w:rsidRPr="007471D0">
        <w:rPr>
          <w:rFonts w:ascii="Roboto" w:hAnsi="Roboto"/>
          <w:color w:val="404040" w:themeColor="text1" w:themeTint="BF"/>
          <w:sz w:val="21"/>
          <w:szCs w:val="21"/>
        </w:rPr>
        <w:t>Identification of development priorities and opportunities based on annual analysis delivered by UN entities.</w:t>
      </w:r>
    </w:p>
    <w:p w14:paraId="54CCC691" w14:textId="53BD235A" w:rsidR="00640F88" w:rsidRPr="007471D0" w:rsidRDefault="00640F88" w:rsidP="00640F88">
      <w:pPr>
        <w:pStyle w:val="ListParagraph"/>
        <w:numPr>
          <w:ilvl w:val="0"/>
          <w:numId w:val="38"/>
        </w:numPr>
        <w:spacing w:after="160" w:line="256" w:lineRule="auto"/>
        <w:rPr>
          <w:rFonts w:ascii="Roboto" w:hAnsi="Roboto"/>
          <w:b/>
          <w:bCs/>
          <w:color w:val="404040" w:themeColor="text1" w:themeTint="BF"/>
          <w:sz w:val="21"/>
          <w:szCs w:val="21"/>
        </w:rPr>
      </w:pPr>
      <w:r w:rsidRPr="007471D0">
        <w:rPr>
          <w:rFonts w:ascii="Roboto" w:hAnsi="Roboto"/>
          <w:color w:val="404040" w:themeColor="text1" w:themeTint="BF"/>
          <w:sz w:val="21"/>
          <w:szCs w:val="21"/>
        </w:rPr>
        <w:t xml:space="preserve">Guidance and agreement on </w:t>
      </w:r>
      <w:r w:rsidRPr="00892373">
        <w:rPr>
          <w:rFonts w:ascii="Roboto" w:hAnsi="Roboto" w:cs="Calibri"/>
          <w:color w:val="404040" w:themeColor="text1" w:themeTint="BF"/>
          <w:sz w:val="21"/>
          <w:szCs w:val="21"/>
          <w:lang w:val="en-GB"/>
        </w:rPr>
        <w:t xml:space="preserve">necessary amendments to the UNSDCF </w:t>
      </w:r>
      <w:proofErr w:type="gramStart"/>
      <w:r w:rsidRPr="00892373">
        <w:rPr>
          <w:rFonts w:ascii="Roboto" w:hAnsi="Roboto" w:cs="Calibri"/>
          <w:color w:val="404040" w:themeColor="text1" w:themeTint="BF"/>
          <w:sz w:val="21"/>
          <w:szCs w:val="21"/>
          <w:lang w:val="en-GB"/>
        </w:rPr>
        <w:t>taking into account</w:t>
      </w:r>
      <w:proofErr w:type="gramEnd"/>
      <w:r w:rsidRPr="00892373">
        <w:rPr>
          <w:rFonts w:ascii="Roboto" w:hAnsi="Roboto" w:cs="Calibri"/>
          <w:color w:val="404040" w:themeColor="text1" w:themeTint="BF"/>
          <w:sz w:val="21"/>
          <w:szCs w:val="21"/>
          <w:lang w:val="en-GB"/>
        </w:rPr>
        <w:t xml:space="preserve"> the </w:t>
      </w:r>
      <w:r w:rsidR="003B5EE8" w:rsidRPr="00892373">
        <w:rPr>
          <w:rFonts w:ascii="Roboto" w:hAnsi="Roboto" w:cs="Calibri"/>
          <w:color w:val="404040" w:themeColor="text1" w:themeTint="BF"/>
          <w:sz w:val="21"/>
          <w:szCs w:val="21"/>
          <w:lang w:val="en-GB"/>
        </w:rPr>
        <w:t>other core tasks of the CF Committee</w:t>
      </w:r>
      <w:r w:rsidRPr="00892373">
        <w:rPr>
          <w:rFonts w:ascii="Roboto" w:hAnsi="Roboto" w:cs="Calibri"/>
          <w:color w:val="404040" w:themeColor="text1" w:themeTint="BF"/>
          <w:sz w:val="21"/>
          <w:szCs w:val="21"/>
          <w:lang w:val="en-GB"/>
        </w:rPr>
        <w:t xml:space="preserve">. </w:t>
      </w:r>
    </w:p>
    <w:p w14:paraId="4EEA977E" w14:textId="77777777"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18C2AF6B" w14:textId="4EAD96F6" w:rsidR="00640F88" w:rsidRPr="007471D0" w:rsidRDefault="00640F88" w:rsidP="00464AC3">
      <w:pPr>
        <w:pStyle w:val="ListParagraph"/>
        <w:spacing w:line="256" w:lineRule="auto"/>
        <w:ind w:left="0"/>
        <w:jc w:val="both"/>
        <w:rPr>
          <w:rFonts w:ascii="Roboto" w:hAnsi="Roboto"/>
          <w:color w:val="404040" w:themeColor="text1" w:themeTint="BF"/>
          <w:sz w:val="21"/>
          <w:szCs w:val="21"/>
        </w:rPr>
      </w:pPr>
      <w:r w:rsidRPr="007471D0">
        <w:rPr>
          <w:rFonts w:ascii="Roboto" w:hAnsi="Roboto"/>
          <w:color w:val="404040" w:themeColor="text1" w:themeTint="BF"/>
          <w:sz w:val="21"/>
          <w:szCs w:val="21"/>
        </w:rPr>
        <w:t xml:space="preserve">To ensure coordination and coherence in the implementation of the </w:t>
      </w:r>
      <w:r w:rsidR="00326413" w:rsidRPr="007471D0">
        <w:rPr>
          <w:rFonts w:ascii="Roboto" w:hAnsi="Roboto"/>
          <w:color w:val="404040" w:themeColor="text1" w:themeTint="BF"/>
          <w:sz w:val="21"/>
          <w:szCs w:val="21"/>
        </w:rPr>
        <w:t>UNSD</w:t>
      </w:r>
      <w:r w:rsidRPr="007471D0">
        <w:rPr>
          <w:rFonts w:ascii="Roboto" w:hAnsi="Roboto"/>
          <w:color w:val="404040" w:themeColor="text1" w:themeTint="BF"/>
          <w:sz w:val="21"/>
          <w:szCs w:val="21"/>
        </w:rPr>
        <w:t xml:space="preserve">CF, the CF Committee may constitute Results groups, usually one for each of the Strategic Priority Areas of the </w:t>
      </w:r>
      <w:r w:rsidR="00326413" w:rsidRPr="007471D0">
        <w:rPr>
          <w:rFonts w:ascii="Roboto" w:hAnsi="Roboto"/>
          <w:color w:val="404040" w:themeColor="text1" w:themeTint="BF"/>
          <w:sz w:val="21"/>
          <w:szCs w:val="21"/>
        </w:rPr>
        <w:t>UNSD</w:t>
      </w:r>
      <w:r w:rsidRPr="007471D0">
        <w:rPr>
          <w:rFonts w:ascii="Roboto" w:hAnsi="Roboto"/>
          <w:color w:val="404040" w:themeColor="text1" w:themeTint="BF"/>
          <w:sz w:val="21"/>
          <w:szCs w:val="21"/>
        </w:rPr>
        <w:t xml:space="preserve">CF. The Results groups </w:t>
      </w:r>
      <w:r w:rsidR="00326413" w:rsidRPr="007471D0">
        <w:rPr>
          <w:rFonts w:ascii="Roboto" w:hAnsi="Roboto"/>
          <w:color w:val="404040" w:themeColor="text1" w:themeTint="BF"/>
          <w:sz w:val="21"/>
          <w:szCs w:val="21"/>
        </w:rPr>
        <w:t>that are or are to be</w:t>
      </w:r>
      <w:r w:rsidRPr="007471D0">
        <w:rPr>
          <w:rFonts w:ascii="Roboto" w:hAnsi="Roboto"/>
          <w:color w:val="404040" w:themeColor="text1" w:themeTint="BF"/>
          <w:sz w:val="21"/>
          <w:szCs w:val="21"/>
        </w:rPr>
        <w:t xml:space="preserve"> constituted may include UN and Government technical staff</w:t>
      </w:r>
      <w:r w:rsidR="00326413" w:rsidRPr="007471D0">
        <w:rPr>
          <w:rFonts w:ascii="Roboto" w:hAnsi="Roboto"/>
          <w:color w:val="404040" w:themeColor="text1" w:themeTint="BF"/>
          <w:sz w:val="21"/>
          <w:szCs w:val="21"/>
        </w:rPr>
        <w:t>,</w:t>
      </w:r>
      <w:r w:rsidRPr="007471D0">
        <w:rPr>
          <w:rFonts w:ascii="Roboto" w:hAnsi="Roboto"/>
          <w:color w:val="404040" w:themeColor="text1" w:themeTint="BF"/>
          <w:sz w:val="21"/>
          <w:szCs w:val="21"/>
        </w:rPr>
        <w:t xml:space="preserve"> and their primary purpose is to translate priorities into actionable activities and provide detailed analysis on results which will </w:t>
      </w:r>
      <w:r w:rsidR="00326413" w:rsidRPr="007471D0">
        <w:rPr>
          <w:rFonts w:ascii="Roboto" w:hAnsi="Roboto"/>
          <w:color w:val="404040" w:themeColor="text1" w:themeTint="BF"/>
          <w:sz w:val="21"/>
          <w:szCs w:val="21"/>
        </w:rPr>
        <w:t xml:space="preserve">be linked </w:t>
      </w:r>
      <w:r w:rsidRPr="007471D0">
        <w:rPr>
          <w:rFonts w:ascii="Roboto" w:hAnsi="Roboto"/>
          <w:color w:val="404040" w:themeColor="text1" w:themeTint="BF"/>
          <w:sz w:val="21"/>
          <w:szCs w:val="21"/>
        </w:rPr>
        <w:t xml:space="preserve">to the Annual Performance Review and the </w:t>
      </w:r>
      <w:r w:rsidR="00FE1EBE" w:rsidRPr="007471D0">
        <w:rPr>
          <w:rFonts w:ascii="Roboto" w:hAnsi="Roboto"/>
          <w:color w:val="404040" w:themeColor="text1" w:themeTint="BF"/>
          <w:sz w:val="21"/>
          <w:szCs w:val="21"/>
        </w:rPr>
        <w:t>UN Country Results Report (</w:t>
      </w:r>
      <w:r w:rsidRPr="007471D0">
        <w:rPr>
          <w:rFonts w:ascii="Roboto" w:hAnsi="Roboto"/>
          <w:color w:val="404040" w:themeColor="text1" w:themeTint="BF"/>
          <w:sz w:val="21"/>
          <w:szCs w:val="21"/>
        </w:rPr>
        <w:t>UNCRR</w:t>
      </w:r>
      <w:r w:rsidR="00FE1EBE" w:rsidRPr="007471D0">
        <w:rPr>
          <w:rFonts w:ascii="Roboto" w:hAnsi="Roboto"/>
          <w:color w:val="404040" w:themeColor="text1" w:themeTint="BF"/>
          <w:sz w:val="21"/>
          <w:szCs w:val="21"/>
        </w:rPr>
        <w:t>)</w:t>
      </w:r>
      <w:r w:rsidRPr="007471D0">
        <w:rPr>
          <w:rFonts w:ascii="Roboto" w:hAnsi="Roboto"/>
          <w:color w:val="404040" w:themeColor="text1" w:themeTint="BF"/>
          <w:sz w:val="21"/>
          <w:szCs w:val="21"/>
        </w:rPr>
        <w:t xml:space="preserve">. The results groups should: </w:t>
      </w:r>
    </w:p>
    <w:p w14:paraId="7FD04BE6" w14:textId="7485447D" w:rsidR="00640F88" w:rsidRPr="007471D0" w:rsidRDefault="00640F88" w:rsidP="00464AC3">
      <w:pPr>
        <w:pStyle w:val="Default"/>
        <w:numPr>
          <w:ilvl w:val="0"/>
          <w:numId w:val="41"/>
        </w:numPr>
        <w:rPr>
          <w:rFonts w:ascii="Roboto" w:hAnsi="Roboto"/>
          <w:color w:val="404040" w:themeColor="text1" w:themeTint="BF"/>
          <w:sz w:val="21"/>
          <w:szCs w:val="21"/>
        </w:rPr>
      </w:pPr>
      <w:r w:rsidRPr="007471D0">
        <w:rPr>
          <w:rFonts w:ascii="Roboto" w:hAnsi="Roboto"/>
          <w:color w:val="404040" w:themeColor="text1" w:themeTint="BF"/>
          <w:sz w:val="21"/>
          <w:szCs w:val="21"/>
        </w:rPr>
        <w:t xml:space="preserve">Contribute to the preparation and periodic updates of annual analysis. </w:t>
      </w:r>
    </w:p>
    <w:p w14:paraId="74FCA0F3" w14:textId="66DD1463" w:rsidR="00640F88" w:rsidRPr="007471D0" w:rsidRDefault="00640F88" w:rsidP="00640F88">
      <w:pPr>
        <w:pStyle w:val="Default"/>
        <w:numPr>
          <w:ilvl w:val="0"/>
          <w:numId w:val="41"/>
        </w:numPr>
        <w:spacing w:after="40"/>
        <w:rPr>
          <w:rFonts w:ascii="Roboto" w:hAnsi="Roboto"/>
          <w:color w:val="404040" w:themeColor="text1" w:themeTint="BF"/>
          <w:sz w:val="21"/>
          <w:szCs w:val="21"/>
        </w:rPr>
      </w:pPr>
      <w:r w:rsidRPr="007471D0">
        <w:rPr>
          <w:rFonts w:ascii="Roboto" w:hAnsi="Roboto"/>
          <w:color w:val="404040" w:themeColor="text1" w:themeTint="BF"/>
          <w:sz w:val="21"/>
          <w:szCs w:val="21"/>
        </w:rPr>
        <w:t xml:space="preserve">Prepare and update </w:t>
      </w:r>
      <w:r w:rsidR="00326413" w:rsidRPr="007471D0">
        <w:rPr>
          <w:rFonts w:ascii="Roboto" w:hAnsi="Roboto"/>
          <w:color w:val="404040" w:themeColor="text1" w:themeTint="BF"/>
          <w:sz w:val="21"/>
          <w:szCs w:val="21"/>
        </w:rPr>
        <w:t>the UN Joint Workplans annually to achieve</w:t>
      </w:r>
      <w:r w:rsidRPr="007471D0">
        <w:rPr>
          <w:rFonts w:ascii="Roboto" w:hAnsi="Roboto"/>
          <w:color w:val="404040" w:themeColor="text1" w:themeTint="BF"/>
          <w:sz w:val="21"/>
          <w:szCs w:val="21"/>
        </w:rPr>
        <w:t xml:space="preserve"> the </w:t>
      </w:r>
      <w:r w:rsidR="00326413" w:rsidRPr="007471D0">
        <w:rPr>
          <w:rFonts w:ascii="Roboto" w:hAnsi="Roboto"/>
          <w:color w:val="404040" w:themeColor="text1" w:themeTint="BF"/>
          <w:sz w:val="21"/>
          <w:szCs w:val="21"/>
        </w:rPr>
        <w:t>UNSDCF’s</w:t>
      </w:r>
      <w:r w:rsidRPr="007471D0">
        <w:rPr>
          <w:rFonts w:ascii="Roboto" w:hAnsi="Roboto"/>
          <w:color w:val="404040" w:themeColor="text1" w:themeTint="BF"/>
          <w:sz w:val="21"/>
          <w:szCs w:val="21"/>
        </w:rPr>
        <w:t xml:space="preserve"> </w:t>
      </w:r>
      <w:r w:rsidR="00326413" w:rsidRPr="007471D0">
        <w:rPr>
          <w:rFonts w:ascii="Roboto" w:hAnsi="Roboto"/>
          <w:color w:val="404040" w:themeColor="text1" w:themeTint="BF"/>
          <w:sz w:val="21"/>
          <w:szCs w:val="21"/>
        </w:rPr>
        <w:t>O</w:t>
      </w:r>
      <w:r w:rsidRPr="007471D0">
        <w:rPr>
          <w:rFonts w:ascii="Roboto" w:hAnsi="Roboto"/>
          <w:color w:val="404040" w:themeColor="text1" w:themeTint="BF"/>
          <w:sz w:val="21"/>
          <w:szCs w:val="21"/>
        </w:rPr>
        <w:t xml:space="preserve">utputs efficiently and coherently. </w:t>
      </w:r>
    </w:p>
    <w:p w14:paraId="1AB787C9" w14:textId="655391D2" w:rsidR="00640F88" w:rsidRPr="007471D0" w:rsidRDefault="00640F88" w:rsidP="00640F88">
      <w:pPr>
        <w:pStyle w:val="Default"/>
        <w:numPr>
          <w:ilvl w:val="0"/>
          <w:numId w:val="41"/>
        </w:numPr>
        <w:spacing w:after="40"/>
        <w:rPr>
          <w:rFonts w:ascii="Roboto" w:hAnsi="Roboto"/>
          <w:color w:val="404040" w:themeColor="text1" w:themeTint="BF"/>
          <w:sz w:val="21"/>
          <w:szCs w:val="21"/>
        </w:rPr>
      </w:pPr>
      <w:r w:rsidRPr="007471D0">
        <w:rPr>
          <w:rFonts w:ascii="Roboto" w:hAnsi="Roboto"/>
          <w:color w:val="404040" w:themeColor="text1" w:themeTint="BF"/>
          <w:sz w:val="21"/>
          <w:szCs w:val="21"/>
        </w:rPr>
        <w:t xml:space="preserve">Identify </w:t>
      </w:r>
      <w:r w:rsidR="00326413" w:rsidRPr="007471D0">
        <w:rPr>
          <w:rFonts w:ascii="Roboto" w:hAnsi="Roboto"/>
          <w:color w:val="404040" w:themeColor="text1" w:themeTint="BF"/>
          <w:sz w:val="21"/>
          <w:szCs w:val="21"/>
        </w:rPr>
        <w:t>joint programmes and programming opportunities and recommend relevant instruments (e.g., joint programmes; integrated policy support; joint advocacy,</w:t>
      </w:r>
      <w:r w:rsidRPr="007471D0">
        <w:rPr>
          <w:rFonts w:ascii="Roboto" w:hAnsi="Roboto"/>
          <w:color w:val="404040" w:themeColor="text1" w:themeTint="BF"/>
          <w:sz w:val="21"/>
          <w:szCs w:val="21"/>
        </w:rPr>
        <w:t xml:space="preserve"> etc</w:t>
      </w:r>
      <w:r w:rsidR="00326413" w:rsidRPr="007471D0">
        <w:rPr>
          <w:rFonts w:ascii="Roboto" w:hAnsi="Roboto"/>
          <w:color w:val="404040" w:themeColor="text1" w:themeTint="BF"/>
          <w:sz w:val="21"/>
          <w:szCs w:val="21"/>
        </w:rPr>
        <w:t>.</w:t>
      </w:r>
      <w:r w:rsidRPr="007471D0">
        <w:rPr>
          <w:rFonts w:ascii="Roboto" w:hAnsi="Roboto"/>
          <w:color w:val="404040" w:themeColor="text1" w:themeTint="BF"/>
          <w:sz w:val="21"/>
          <w:szCs w:val="21"/>
        </w:rPr>
        <w:t xml:space="preserve">). </w:t>
      </w:r>
    </w:p>
    <w:p w14:paraId="0DE0E717" w14:textId="39C2F293" w:rsidR="00640F88" w:rsidRPr="007471D0" w:rsidRDefault="00640F88" w:rsidP="00640F88">
      <w:pPr>
        <w:pStyle w:val="Default"/>
        <w:numPr>
          <w:ilvl w:val="0"/>
          <w:numId w:val="41"/>
        </w:numPr>
        <w:spacing w:after="40"/>
        <w:rPr>
          <w:rFonts w:ascii="Roboto" w:hAnsi="Roboto"/>
          <w:color w:val="404040" w:themeColor="text1" w:themeTint="BF"/>
          <w:sz w:val="21"/>
          <w:szCs w:val="21"/>
        </w:rPr>
      </w:pPr>
      <w:r w:rsidRPr="007471D0">
        <w:rPr>
          <w:rFonts w:ascii="Roboto" w:hAnsi="Roboto"/>
          <w:color w:val="404040" w:themeColor="text1" w:themeTint="BF"/>
          <w:sz w:val="21"/>
          <w:szCs w:val="21"/>
        </w:rPr>
        <w:t>Provide inputs for policy deliberations and advocacy with</w:t>
      </w:r>
      <w:r w:rsidR="00326413" w:rsidRPr="007471D0">
        <w:rPr>
          <w:rFonts w:ascii="Roboto" w:hAnsi="Roboto"/>
          <w:color w:val="404040" w:themeColor="text1" w:themeTint="BF"/>
          <w:sz w:val="21"/>
          <w:szCs w:val="21"/>
        </w:rPr>
        <w:t xml:space="preserve"> the</w:t>
      </w:r>
      <w:r w:rsidRPr="007471D0">
        <w:rPr>
          <w:rFonts w:ascii="Roboto" w:hAnsi="Roboto"/>
          <w:color w:val="404040" w:themeColor="text1" w:themeTint="BF"/>
          <w:sz w:val="21"/>
          <w:szCs w:val="21"/>
        </w:rPr>
        <w:t xml:space="preserve"> national Government and other stakeholders on key issues within </w:t>
      </w:r>
      <w:r w:rsidR="00326413" w:rsidRPr="007471D0">
        <w:rPr>
          <w:rFonts w:ascii="Roboto" w:hAnsi="Roboto"/>
          <w:color w:val="404040" w:themeColor="text1" w:themeTint="BF"/>
          <w:sz w:val="21"/>
          <w:szCs w:val="21"/>
        </w:rPr>
        <w:t>the four Strategic P</w:t>
      </w:r>
      <w:r w:rsidRPr="007471D0">
        <w:rPr>
          <w:rFonts w:ascii="Roboto" w:hAnsi="Roboto"/>
          <w:color w:val="404040" w:themeColor="text1" w:themeTint="BF"/>
          <w:sz w:val="21"/>
          <w:szCs w:val="21"/>
        </w:rPr>
        <w:t xml:space="preserve">riority </w:t>
      </w:r>
      <w:r w:rsidR="00326413" w:rsidRPr="007471D0">
        <w:rPr>
          <w:rFonts w:ascii="Roboto" w:hAnsi="Roboto"/>
          <w:color w:val="404040" w:themeColor="text1" w:themeTint="BF"/>
          <w:sz w:val="21"/>
          <w:szCs w:val="21"/>
        </w:rPr>
        <w:t>A</w:t>
      </w:r>
      <w:r w:rsidRPr="007471D0">
        <w:rPr>
          <w:rFonts w:ascii="Roboto" w:hAnsi="Roboto"/>
          <w:color w:val="404040" w:themeColor="text1" w:themeTint="BF"/>
          <w:sz w:val="21"/>
          <w:szCs w:val="21"/>
        </w:rPr>
        <w:t>rea</w:t>
      </w:r>
      <w:r w:rsidR="00326413" w:rsidRPr="007471D0">
        <w:rPr>
          <w:rFonts w:ascii="Roboto" w:hAnsi="Roboto"/>
          <w:color w:val="404040" w:themeColor="text1" w:themeTint="BF"/>
          <w:sz w:val="21"/>
          <w:szCs w:val="21"/>
        </w:rPr>
        <w:t>s</w:t>
      </w:r>
      <w:r w:rsidRPr="007471D0">
        <w:rPr>
          <w:rFonts w:ascii="Roboto" w:hAnsi="Roboto"/>
          <w:color w:val="404040" w:themeColor="text1" w:themeTint="BF"/>
          <w:sz w:val="21"/>
          <w:szCs w:val="21"/>
        </w:rPr>
        <w:t xml:space="preserve"> to advance the UN’s 2030 Agenda</w:t>
      </w:r>
      <w:r w:rsidR="00326413" w:rsidRPr="007471D0">
        <w:rPr>
          <w:rFonts w:ascii="Roboto" w:hAnsi="Roboto"/>
          <w:color w:val="404040" w:themeColor="text1" w:themeTint="BF"/>
          <w:sz w:val="21"/>
          <w:szCs w:val="21"/>
        </w:rPr>
        <w:t xml:space="preserve"> and the </w:t>
      </w:r>
      <w:r w:rsidRPr="007471D0">
        <w:rPr>
          <w:rFonts w:ascii="Roboto" w:hAnsi="Roboto"/>
          <w:color w:val="404040" w:themeColor="text1" w:themeTint="BF"/>
          <w:sz w:val="21"/>
          <w:szCs w:val="21"/>
        </w:rPr>
        <w:t xml:space="preserve">SDGs. </w:t>
      </w:r>
    </w:p>
    <w:p w14:paraId="080E1242" w14:textId="2B2DD45F" w:rsidR="00640F88" w:rsidRPr="007471D0" w:rsidRDefault="00640F88" w:rsidP="00640F88">
      <w:pPr>
        <w:pStyle w:val="Default"/>
        <w:numPr>
          <w:ilvl w:val="0"/>
          <w:numId w:val="41"/>
        </w:numPr>
        <w:spacing w:after="40"/>
        <w:rPr>
          <w:rFonts w:ascii="Roboto" w:hAnsi="Roboto"/>
          <w:color w:val="404040" w:themeColor="text1" w:themeTint="BF"/>
          <w:sz w:val="21"/>
          <w:szCs w:val="21"/>
        </w:rPr>
      </w:pPr>
      <w:r w:rsidRPr="007471D0">
        <w:rPr>
          <w:rFonts w:ascii="Roboto" w:hAnsi="Roboto"/>
          <w:color w:val="404040" w:themeColor="text1" w:themeTint="BF"/>
          <w:sz w:val="21"/>
          <w:szCs w:val="21"/>
        </w:rPr>
        <w:t xml:space="preserve">Ensure that UN Info </w:t>
      </w:r>
      <w:r w:rsidR="00326413" w:rsidRPr="007471D0">
        <w:rPr>
          <w:rFonts w:ascii="Roboto" w:hAnsi="Roboto"/>
          <w:color w:val="404040" w:themeColor="text1" w:themeTint="BF"/>
          <w:sz w:val="21"/>
          <w:szCs w:val="21"/>
        </w:rPr>
        <w:t xml:space="preserve">reflects </w:t>
      </w:r>
      <w:r w:rsidRPr="007471D0">
        <w:rPr>
          <w:rFonts w:ascii="Roboto" w:hAnsi="Roboto"/>
          <w:color w:val="404040" w:themeColor="text1" w:themeTint="BF"/>
          <w:sz w:val="21"/>
          <w:szCs w:val="21"/>
        </w:rPr>
        <w:t xml:space="preserve">information related to the </w:t>
      </w:r>
      <w:r w:rsidR="00892373" w:rsidRPr="007471D0">
        <w:rPr>
          <w:rFonts w:ascii="Roboto" w:hAnsi="Roboto"/>
          <w:color w:val="404040" w:themeColor="text1" w:themeTint="BF"/>
          <w:sz w:val="21"/>
          <w:szCs w:val="21"/>
        </w:rPr>
        <w:t xml:space="preserve">UN </w:t>
      </w:r>
      <w:r w:rsidR="00326413" w:rsidRPr="007471D0">
        <w:rPr>
          <w:rFonts w:ascii="Roboto" w:hAnsi="Roboto"/>
          <w:color w:val="404040" w:themeColor="text1" w:themeTint="BF"/>
          <w:sz w:val="21"/>
          <w:szCs w:val="21"/>
        </w:rPr>
        <w:t>J</w:t>
      </w:r>
      <w:r w:rsidRPr="007471D0">
        <w:rPr>
          <w:rFonts w:ascii="Roboto" w:hAnsi="Roboto"/>
          <w:color w:val="404040" w:themeColor="text1" w:themeTint="BF"/>
          <w:sz w:val="21"/>
          <w:szCs w:val="21"/>
        </w:rPr>
        <w:t xml:space="preserve">oint </w:t>
      </w:r>
      <w:r w:rsidR="00326413" w:rsidRPr="007471D0">
        <w:rPr>
          <w:rFonts w:ascii="Roboto" w:hAnsi="Roboto"/>
          <w:color w:val="404040" w:themeColor="text1" w:themeTint="BF"/>
          <w:sz w:val="21"/>
          <w:szCs w:val="21"/>
        </w:rPr>
        <w:t>W</w:t>
      </w:r>
      <w:r w:rsidRPr="007471D0">
        <w:rPr>
          <w:rFonts w:ascii="Roboto" w:hAnsi="Roboto"/>
          <w:color w:val="404040" w:themeColor="text1" w:themeTint="BF"/>
          <w:sz w:val="21"/>
          <w:szCs w:val="21"/>
        </w:rPr>
        <w:t>orkplan</w:t>
      </w:r>
      <w:r w:rsidR="00892373" w:rsidRPr="007471D0">
        <w:rPr>
          <w:rFonts w:ascii="Roboto" w:hAnsi="Roboto"/>
          <w:color w:val="404040" w:themeColor="text1" w:themeTint="BF"/>
          <w:sz w:val="21"/>
          <w:szCs w:val="21"/>
        </w:rPr>
        <w:t>s</w:t>
      </w:r>
      <w:r w:rsidRPr="007471D0">
        <w:rPr>
          <w:rFonts w:ascii="Roboto" w:hAnsi="Roboto"/>
          <w:color w:val="404040" w:themeColor="text1" w:themeTint="BF"/>
          <w:sz w:val="21"/>
          <w:szCs w:val="21"/>
        </w:rPr>
        <w:t xml:space="preserve"> and </w:t>
      </w:r>
      <w:r w:rsidR="00326413" w:rsidRPr="007471D0">
        <w:rPr>
          <w:rFonts w:ascii="Roboto" w:hAnsi="Roboto"/>
          <w:color w:val="404040" w:themeColor="text1" w:themeTint="BF"/>
          <w:sz w:val="21"/>
          <w:szCs w:val="21"/>
        </w:rPr>
        <w:t xml:space="preserve">that </w:t>
      </w:r>
      <w:r w:rsidRPr="007471D0">
        <w:rPr>
          <w:rFonts w:ascii="Roboto" w:hAnsi="Roboto"/>
          <w:color w:val="404040" w:themeColor="text1" w:themeTint="BF"/>
          <w:sz w:val="21"/>
          <w:szCs w:val="21"/>
        </w:rPr>
        <w:t xml:space="preserve">progress in its implementation is updated monthly. </w:t>
      </w:r>
    </w:p>
    <w:p w14:paraId="1EDF2A99" w14:textId="599FB3AA" w:rsidR="00640F88" w:rsidRPr="007471D0" w:rsidRDefault="00640F88" w:rsidP="00640F88">
      <w:pPr>
        <w:pStyle w:val="Default"/>
        <w:numPr>
          <w:ilvl w:val="0"/>
          <w:numId w:val="41"/>
        </w:numPr>
        <w:rPr>
          <w:rFonts w:ascii="Roboto" w:hAnsi="Roboto"/>
          <w:color w:val="404040" w:themeColor="text1" w:themeTint="BF"/>
          <w:sz w:val="21"/>
          <w:szCs w:val="21"/>
        </w:rPr>
      </w:pPr>
      <w:r w:rsidRPr="007471D0">
        <w:rPr>
          <w:rFonts w:ascii="Roboto" w:hAnsi="Roboto"/>
          <w:color w:val="404040" w:themeColor="text1" w:themeTint="BF"/>
          <w:sz w:val="21"/>
          <w:szCs w:val="21"/>
        </w:rPr>
        <w:t>Engage in joint/interagency monitoring exercises to establish and verify results as needed or appropriate.</w:t>
      </w:r>
    </w:p>
    <w:p w14:paraId="7271E108" w14:textId="77777777"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3AB104DB" w14:textId="2288DF56" w:rsidR="00640F88" w:rsidRPr="007471D0" w:rsidRDefault="00640F88" w:rsidP="00464AC3">
      <w:pPr>
        <w:pStyle w:val="ListParagraph"/>
        <w:spacing w:after="160" w:line="256" w:lineRule="auto"/>
        <w:ind w:left="0"/>
        <w:jc w:val="both"/>
        <w:rPr>
          <w:rFonts w:ascii="Roboto" w:hAnsi="Roboto"/>
          <w:color w:val="404040" w:themeColor="text1" w:themeTint="BF"/>
          <w:sz w:val="21"/>
          <w:szCs w:val="21"/>
        </w:rPr>
      </w:pPr>
      <w:r w:rsidRPr="007471D0">
        <w:rPr>
          <w:rFonts w:ascii="Roboto" w:hAnsi="Roboto"/>
          <w:color w:val="404040" w:themeColor="text1" w:themeTint="BF"/>
          <w:sz w:val="21"/>
          <w:szCs w:val="21"/>
        </w:rPr>
        <w:t xml:space="preserve">The CF Committee will share the annual UN Country Results Report </w:t>
      </w:r>
      <w:r w:rsidR="000821FB" w:rsidRPr="007471D0">
        <w:rPr>
          <w:rFonts w:ascii="Roboto" w:hAnsi="Roboto"/>
          <w:color w:val="404040" w:themeColor="text1" w:themeTint="BF"/>
          <w:sz w:val="21"/>
          <w:szCs w:val="21"/>
        </w:rPr>
        <w:t>with the Government of the KSA</w:t>
      </w:r>
      <w:r w:rsidRPr="007471D0">
        <w:rPr>
          <w:rFonts w:ascii="Roboto" w:hAnsi="Roboto"/>
          <w:color w:val="404040" w:themeColor="text1" w:themeTint="BF"/>
          <w:sz w:val="21"/>
          <w:szCs w:val="21"/>
        </w:rPr>
        <w:t xml:space="preserve">, along with a summary of the </w:t>
      </w:r>
      <w:r w:rsidR="00E56159" w:rsidRPr="007471D0">
        <w:rPr>
          <w:rFonts w:ascii="Roboto" w:hAnsi="Roboto"/>
          <w:color w:val="404040" w:themeColor="text1" w:themeTint="BF"/>
          <w:sz w:val="21"/>
          <w:szCs w:val="21"/>
        </w:rPr>
        <w:t>a</w:t>
      </w:r>
      <w:r w:rsidRPr="007471D0">
        <w:rPr>
          <w:rFonts w:ascii="Roboto" w:hAnsi="Roboto"/>
          <w:color w:val="404040" w:themeColor="text1" w:themeTint="BF"/>
          <w:sz w:val="21"/>
          <w:szCs w:val="21"/>
        </w:rPr>
        <w:t xml:space="preserve">nnual </w:t>
      </w:r>
      <w:r w:rsidR="00E56159" w:rsidRPr="007471D0">
        <w:rPr>
          <w:rFonts w:ascii="Roboto" w:hAnsi="Roboto"/>
          <w:color w:val="404040" w:themeColor="text1" w:themeTint="BF"/>
          <w:sz w:val="21"/>
          <w:szCs w:val="21"/>
        </w:rPr>
        <w:t>UNSD</w:t>
      </w:r>
      <w:r w:rsidRPr="007471D0">
        <w:rPr>
          <w:rFonts w:ascii="Roboto" w:hAnsi="Roboto"/>
          <w:color w:val="404040" w:themeColor="text1" w:themeTint="BF"/>
          <w:sz w:val="21"/>
          <w:szCs w:val="21"/>
        </w:rPr>
        <w:t xml:space="preserve">CF review and a summary of the activities of the CF Committee. </w:t>
      </w:r>
    </w:p>
    <w:p w14:paraId="7F42690C" w14:textId="77777777"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45A980C4" w14:textId="77777777" w:rsidR="00D937E9" w:rsidRDefault="00D937E9">
      <w:pPr>
        <w:rPr>
          <w:rFonts w:ascii="Roboto" w:hAnsi="Roboto" w:cs="Calibri"/>
          <w:b/>
          <w:bCs/>
          <w:color w:val="404040" w:themeColor="text1" w:themeTint="BF"/>
          <w:sz w:val="21"/>
          <w:szCs w:val="21"/>
          <w:lang w:val="en-GB"/>
        </w:rPr>
      </w:pPr>
      <w:r>
        <w:rPr>
          <w:rFonts w:ascii="Roboto" w:hAnsi="Roboto" w:cs="Calibri"/>
          <w:b/>
          <w:bCs/>
          <w:color w:val="404040" w:themeColor="text1" w:themeTint="BF"/>
          <w:sz w:val="21"/>
          <w:szCs w:val="21"/>
          <w:lang w:val="en-GB"/>
        </w:rPr>
        <w:br w:type="page"/>
      </w:r>
    </w:p>
    <w:p w14:paraId="5583A11A" w14:textId="54AB2B50" w:rsidR="00640F88" w:rsidRPr="007471D0" w:rsidRDefault="00640F88" w:rsidP="00227704">
      <w:pPr>
        <w:rPr>
          <w:rFonts w:ascii="Roboto" w:hAnsi="Roboto"/>
          <w:b/>
          <w:bCs/>
          <w:color w:val="404040" w:themeColor="text1" w:themeTint="BF"/>
          <w:sz w:val="21"/>
          <w:szCs w:val="21"/>
        </w:rPr>
      </w:pPr>
      <w:r w:rsidRPr="00892373">
        <w:rPr>
          <w:rFonts w:ascii="Roboto" w:hAnsi="Roboto" w:cs="Calibri"/>
          <w:b/>
          <w:bCs/>
          <w:color w:val="404040" w:themeColor="text1" w:themeTint="BF"/>
          <w:sz w:val="21"/>
          <w:szCs w:val="21"/>
          <w:lang w:val="en-GB"/>
        </w:rPr>
        <w:lastRenderedPageBreak/>
        <w:t>The UN Country Team Coordination Framework</w:t>
      </w:r>
    </w:p>
    <w:p w14:paraId="35C837A4" w14:textId="77777777" w:rsidR="00640F88" w:rsidRPr="007471D0" w:rsidRDefault="00640F88" w:rsidP="00640F88">
      <w:pPr>
        <w:pStyle w:val="ListParagraph"/>
        <w:spacing w:after="160" w:line="256" w:lineRule="auto"/>
        <w:ind w:left="0"/>
        <w:rPr>
          <w:rFonts w:ascii="Roboto" w:hAnsi="Roboto"/>
          <w:color w:val="404040" w:themeColor="text1" w:themeTint="BF"/>
          <w:sz w:val="21"/>
          <w:szCs w:val="21"/>
        </w:rPr>
      </w:pPr>
    </w:p>
    <w:p w14:paraId="21DF0475" w14:textId="65DEACD9" w:rsidR="00640F88" w:rsidRDefault="00640F88" w:rsidP="00464AC3">
      <w:pPr>
        <w:pStyle w:val="ListParagraph"/>
        <w:spacing w:after="160" w:line="256" w:lineRule="auto"/>
        <w:ind w:left="0"/>
        <w:jc w:val="both"/>
        <w:rPr>
          <w:rFonts w:ascii="Roboto" w:hAnsi="Roboto"/>
          <w:color w:val="404040" w:themeColor="text1" w:themeTint="BF"/>
          <w:sz w:val="21"/>
          <w:szCs w:val="21"/>
        </w:rPr>
      </w:pPr>
      <w:r w:rsidRPr="007471D0">
        <w:rPr>
          <w:rFonts w:ascii="Roboto" w:hAnsi="Roboto"/>
          <w:color w:val="404040" w:themeColor="text1" w:themeTint="BF"/>
          <w:sz w:val="21"/>
          <w:szCs w:val="21"/>
        </w:rPr>
        <w:t>In support of the achievement of the UNSDCF, the UN Resident Coordinator and the UN Country Team</w:t>
      </w:r>
      <w:r w:rsidR="00E56159" w:rsidRPr="007471D0">
        <w:rPr>
          <w:rFonts w:ascii="Roboto" w:hAnsi="Roboto"/>
          <w:color w:val="404040" w:themeColor="text1" w:themeTint="BF"/>
          <w:sz w:val="21"/>
          <w:szCs w:val="21"/>
        </w:rPr>
        <w:t xml:space="preserve"> (UNCT)</w:t>
      </w:r>
      <w:r w:rsidRPr="007471D0">
        <w:rPr>
          <w:rFonts w:ascii="Roboto" w:hAnsi="Roboto"/>
          <w:color w:val="404040" w:themeColor="text1" w:themeTint="BF"/>
          <w:sz w:val="21"/>
          <w:szCs w:val="21"/>
        </w:rPr>
        <w:t xml:space="preserve"> will maintain internal mechanisms which will ensure a coherent and efficient approach across the UN development system. There are </w:t>
      </w:r>
      <w:r w:rsidR="00E56159" w:rsidRPr="007471D0">
        <w:rPr>
          <w:rFonts w:ascii="Roboto" w:hAnsi="Roboto"/>
          <w:color w:val="404040" w:themeColor="text1" w:themeTint="BF"/>
          <w:sz w:val="21"/>
          <w:szCs w:val="21"/>
        </w:rPr>
        <w:t>three</w:t>
      </w:r>
      <w:r w:rsidRPr="007471D0">
        <w:rPr>
          <w:rFonts w:ascii="Roboto" w:hAnsi="Roboto"/>
          <w:color w:val="404040" w:themeColor="text1" w:themeTint="BF"/>
          <w:sz w:val="21"/>
          <w:szCs w:val="21"/>
        </w:rPr>
        <w:t xml:space="preserve"> mandatory mechanisms:</w:t>
      </w:r>
    </w:p>
    <w:p w14:paraId="03BABC6C" w14:textId="049DE4B8" w:rsidR="00640F88" w:rsidRPr="007471D0" w:rsidRDefault="00640F88" w:rsidP="00640F88">
      <w:pPr>
        <w:pStyle w:val="ListParagraph"/>
        <w:numPr>
          <w:ilvl w:val="0"/>
          <w:numId w:val="42"/>
        </w:numPr>
        <w:spacing w:after="160" w:line="256" w:lineRule="auto"/>
        <w:rPr>
          <w:rFonts w:ascii="Roboto" w:hAnsi="Roboto"/>
          <w:color w:val="404040" w:themeColor="text1" w:themeTint="BF"/>
          <w:sz w:val="21"/>
          <w:szCs w:val="21"/>
        </w:rPr>
      </w:pPr>
      <w:r w:rsidRPr="007471D0">
        <w:rPr>
          <w:rFonts w:ascii="Roboto" w:hAnsi="Roboto"/>
          <w:color w:val="404040" w:themeColor="text1" w:themeTint="BF"/>
          <w:sz w:val="21"/>
          <w:szCs w:val="21"/>
        </w:rPr>
        <w:t xml:space="preserve">The </w:t>
      </w:r>
      <w:r w:rsidRPr="007471D0">
        <w:rPr>
          <w:rFonts w:ascii="Roboto" w:hAnsi="Roboto"/>
          <w:b/>
          <w:bCs/>
          <w:color w:val="404040" w:themeColor="text1" w:themeTint="BF"/>
          <w:sz w:val="21"/>
          <w:szCs w:val="21"/>
        </w:rPr>
        <w:t>UN Country Team</w:t>
      </w:r>
      <w:r w:rsidRPr="007471D0">
        <w:rPr>
          <w:rFonts w:ascii="Roboto" w:hAnsi="Roboto"/>
          <w:color w:val="404040" w:themeColor="text1" w:themeTint="BF"/>
          <w:sz w:val="21"/>
          <w:szCs w:val="21"/>
        </w:rPr>
        <w:t xml:space="preserve"> </w:t>
      </w:r>
      <w:r w:rsidR="0004584D">
        <w:rPr>
          <w:rFonts w:ascii="Roboto" w:hAnsi="Roboto"/>
          <w:color w:val="404040" w:themeColor="text1" w:themeTint="BF"/>
          <w:sz w:val="21"/>
          <w:szCs w:val="21"/>
        </w:rPr>
        <w:t xml:space="preserve">is </w:t>
      </w:r>
      <w:r w:rsidRPr="007471D0">
        <w:rPr>
          <w:rFonts w:ascii="Roboto" w:hAnsi="Roboto"/>
          <w:color w:val="404040" w:themeColor="text1" w:themeTint="BF"/>
          <w:sz w:val="21"/>
          <w:szCs w:val="21"/>
        </w:rPr>
        <w:t>chaired by the RC</w:t>
      </w:r>
      <w:r w:rsidR="0004584D">
        <w:rPr>
          <w:rFonts w:ascii="Roboto" w:hAnsi="Roboto"/>
          <w:color w:val="404040" w:themeColor="text1" w:themeTint="BF"/>
          <w:sz w:val="21"/>
          <w:szCs w:val="21"/>
        </w:rPr>
        <w:t xml:space="preserve"> and</w:t>
      </w:r>
      <w:r w:rsidRPr="007471D0">
        <w:rPr>
          <w:rFonts w:ascii="Roboto" w:hAnsi="Roboto"/>
          <w:color w:val="404040" w:themeColor="text1" w:themeTint="BF"/>
          <w:sz w:val="21"/>
          <w:szCs w:val="21"/>
        </w:rPr>
        <w:t xml:space="preserve"> includes</w:t>
      </w:r>
      <w:r w:rsidR="006257FE" w:rsidRPr="007471D0">
        <w:rPr>
          <w:rFonts w:ascii="Roboto" w:hAnsi="Roboto"/>
          <w:color w:val="404040" w:themeColor="text1" w:themeTint="BF"/>
          <w:sz w:val="21"/>
          <w:szCs w:val="21"/>
        </w:rPr>
        <w:t xml:space="preserve"> the</w:t>
      </w:r>
      <w:r w:rsidRPr="007471D0">
        <w:rPr>
          <w:rFonts w:ascii="Roboto" w:hAnsi="Roboto"/>
          <w:color w:val="404040" w:themeColor="text1" w:themeTint="BF"/>
          <w:sz w:val="21"/>
          <w:szCs w:val="21"/>
        </w:rPr>
        <w:t xml:space="preserve"> </w:t>
      </w:r>
      <w:r w:rsidR="006257FE" w:rsidRPr="007471D0">
        <w:rPr>
          <w:rFonts w:ascii="Roboto" w:hAnsi="Roboto"/>
          <w:color w:val="404040" w:themeColor="text1" w:themeTint="BF"/>
          <w:sz w:val="21"/>
          <w:szCs w:val="21"/>
        </w:rPr>
        <w:t>h</w:t>
      </w:r>
      <w:r w:rsidRPr="007471D0">
        <w:rPr>
          <w:rFonts w:ascii="Roboto" w:hAnsi="Roboto"/>
          <w:color w:val="404040" w:themeColor="text1" w:themeTint="BF"/>
          <w:sz w:val="21"/>
          <w:szCs w:val="21"/>
        </w:rPr>
        <w:t xml:space="preserve">eads of </w:t>
      </w:r>
      <w:r w:rsidR="006257FE" w:rsidRPr="007471D0">
        <w:rPr>
          <w:rFonts w:ascii="Roboto" w:hAnsi="Roboto"/>
          <w:color w:val="404040" w:themeColor="text1" w:themeTint="BF"/>
          <w:sz w:val="21"/>
          <w:szCs w:val="21"/>
        </w:rPr>
        <w:t>each</w:t>
      </w:r>
      <w:r w:rsidRPr="007471D0">
        <w:rPr>
          <w:rFonts w:ascii="Roboto" w:hAnsi="Roboto"/>
          <w:color w:val="404040" w:themeColor="text1" w:themeTint="BF"/>
          <w:sz w:val="21"/>
          <w:szCs w:val="21"/>
        </w:rPr>
        <w:t xml:space="preserve"> UN entit</w:t>
      </w:r>
      <w:r w:rsidR="006257FE" w:rsidRPr="007471D0">
        <w:rPr>
          <w:rFonts w:ascii="Roboto" w:hAnsi="Roboto"/>
          <w:color w:val="404040" w:themeColor="text1" w:themeTint="BF"/>
          <w:sz w:val="21"/>
          <w:szCs w:val="21"/>
        </w:rPr>
        <w:t>y</w:t>
      </w:r>
      <w:r w:rsidRPr="007471D0">
        <w:rPr>
          <w:rFonts w:ascii="Roboto" w:hAnsi="Roboto"/>
          <w:color w:val="404040" w:themeColor="text1" w:themeTint="BF"/>
          <w:sz w:val="21"/>
          <w:szCs w:val="21"/>
        </w:rPr>
        <w:t xml:space="preserve"> engaged in development work in the KSA. The UNCT provides a forum for discussion and agreement on common issues and approaches.  </w:t>
      </w:r>
    </w:p>
    <w:p w14:paraId="2DDB2C64" w14:textId="3F005DC2" w:rsidR="00640F88" w:rsidRPr="007471D0" w:rsidRDefault="00640F88" w:rsidP="00640F88">
      <w:pPr>
        <w:pStyle w:val="ListParagraph"/>
        <w:numPr>
          <w:ilvl w:val="0"/>
          <w:numId w:val="42"/>
        </w:numPr>
        <w:spacing w:after="160" w:line="256" w:lineRule="auto"/>
        <w:rPr>
          <w:rFonts w:ascii="Roboto" w:hAnsi="Roboto"/>
          <w:color w:val="404040" w:themeColor="text1" w:themeTint="BF"/>
          <w:sz w:val="21"/>
          <w:szCs w:val="21"/>
        </w:rPr>
      </w:pPr>
      <w:r w:rsidRPr="007471D0">
        <w:rPr>
          <w:rFonts w:ascii="Roboto" w:hAnsi="Roboto"/>
          <w:color w:val="404040" w:themeColor="text1" w:themeTint="BF"/>
          <w:sz w:val="21"/>
          <w:szCs w:val="21"/>
        </w:rPr>
        <w:t xml:space="preserve">The </w:t>
      </w:r>
      <w:r w:rsidRPr="007471D0">
        <w:rPr>
          <w:rFonts w:ascii="Roboto" w:hAnsi="Roboto"/>
          <w:b/>
          <w:bCs/>
          <w:color w:val="404040" w:themeColor="text1" w:themeTint="BF"/>
          <w:sz w:val="21"/>
          <w:szCs w:val="21"/>
        </w:rPr>
        <w:t>Operations Management Team</w:t>
      </w:r>
      <w:r w:rsidRPr="007471D0">
        <w:rPr>
          <w:rFonts w:ascii="Roboto" w:hAnsi="Roboto"/>
          <w:color w:val="404040" w:themeColor="text1" w:themeTint="BF"/>
          <w:sz w:val="21"/>
          <w:szCs w:val="21"/>
        </w:rPr>
        <w:t xml:space="preserve"> is chaired by </w:t>
      </w:r>
      <w:r w:rsidR="00892373" w:rsidRPr="007471D0">
        <w:rPr>
          <w:rFonts w:ascii="Roboto" w:hAnsi="Roboto"/>
          <w:color w:val="404040" w:themeColor="text1" w:themeTint="BF"/>
          <w:sz w:val="21"/>
          <w:szCs w:val="21"/>
        </w:rPr>
        <w:t>the</w:t>
      </w:r>
      <w:r w:rsidRPr="007471D0">
        <w:rPr>
          <w:rFonts w:ascii="Roboto" w:hAnsi="Roboto"/>
          <w:color w:val="404040" w:themeColor="text1" w:themeTint="BF"/>
          <w:sz w:val="21"/>
          <w:szCs w:val="21"/>
        </w:rPr>
        <w:t xml:space="preserve"> head of </w:t>
      </w:r>
      <w:r w:rsidR="00892373" w:rsidRPr="007471D0">
        <w:rPr>
          <w:rFonts w:ascii="Roboto" w:hAnsi="Roboto"/>
          <w:color w:val="404040" w:themeColor="text1" w:themeTint="BF"/>
          <w:sz w:val="21"/>
          <w:szCs w:val="21"/>
        </w:rPr>
        <w:t xml:space="preserve">a </w:t>
      </w:r>
      <w:r w:rsidRPr="007471D0">
        <w:rPr>
          <w:rFonts w:ascii="Roboto" w:hAnsi="Roboto"/>
          <w:color w:val="404040" w:themeColor="text1" w:themeTint="BF"/>
          <w:sz w:val="21"/>
          <w:szCs w:val="21"/>
        </w:rPr>
        <w:t xml:space="preserve">UN </w:t>
      </w:r>
      <w:r w:rsidR="006257FE" w:rsidRPr="007471D0">
        <w:rPr>
          <w:rFonts w:ascii="Roboto" w:hAnsi="Roboto"/>
          <w:color w:val="404040" w:themeColor="text1" w:themeTint="BF"/>
          <w:sz w:val="21"/>
          <w:szCs w:val="21"/>
        </w:rPr>
        <w:t xml:space="preserve">entity </w:t>
      </w:r>
      <w:r w:rsidRPr="007471D0">
        <w:rPr>
          <w:rFonts w:ascii="Roboto" w:hAnsi="Roboto"/>
          <w:color w:val="404040" w:themeColor="text1" w:themeTint="BF"/>
          <w:sz w:val="21"/>
          <w:szCs w:val="21"/>
        </w:rPr>
        <w:t xml:space="preserve">and provides guidance on UN operational effectiveness and efficiency </w:t>
      </w:r>
      <w:r w:rsidR="006257FE" w:rsidRPr="007471D0">
        <w:rPr>
          <w:rFonts w:ascii="Roboto" w:hAnsi="Roboto"/>
          <w:color w:val="404040" w:themeColor="text1" w:themeTint="BF"/>
          <w:sz w:val="21"/>
          <w:szCs w:val="21"/>
        </w:rPr>
        <w:t>of</w:t>
      </w:r>
      <w:r w:rsidRPr="007471D0">
        <w:rPr>
          <w:rFonts w:ascii="Roboto" w:hAnsi="Roboto"/>
          <w:color w:val="404040" w:themeColor="text1" w:themeTint="BF"/>
          <w:sz w:val="21"/>
          <w:szCs w:val="21"/>
        </w:rPr>
        <w:t xml:space="preserve"> the Business Operations Strategy. </w:t>
      </w:r>
    </w:p>
    <w:p w14:paraId="4C42B1CC" w14:textId="29BA845C" w:rsidR="00640F88" w:rsidRPr="007471D0" w:rsidRDefault="00640F88" w:rsidP="00640F88">
      <w:pPr>
        <w:pStyle w:val="ListParagraph"/>
        <w:numPr>
          <w:ilvl w:val="0"/>
          <w:numId w:val="42"/>
        </w:numPr>
        <w:spacing w:after="160" w:line="256" w:lineRule="auto"/>
        <w:rPr>
          <w:rFonts w:ascii="Roboto" w:hAnsi="Roboto"/>
          <w:color w:val="404040" w:themeColor="text1" w:themeTint="BF"/>
          <w:sz w:val="21"/>
          <w:szCs w:val="21"/>
        </w:rPr>
      </w:pPr>
      <w:r w:rsidRPr="007471D0">
        <w:rPr>
          <w:rFonts w:ascii="Roboto" w:hAnsi="Roboto"/>
          <w:color w:val="404040" w:themeColor="text1" w:themeTint="BF"/>
          <w:sz w:val="21"/>
          <w:szCs w:val="21"/>
        </w:rPr>
        <w:t xml:space="preserve">The </w:t>
      </w:r>
      <w:r w:rsidRPr="007471D0">
        <w:rPr>
          <w:rFonts w:ascii="Roboto" w:hAnsi="Roboto"/>
          <w:b/>
          <w:bCs/>
          <w:color w:val="404040" w:themeColor="text1" w:themeTint="BF"/>
          <w:sz w:val="21"/>
          <w:szCs w:val="21"/>
        </w:rPr>
        <w:t>UN Communications Group</w:t>
      </w:r>
      <w:r w:rsidRPr="007471D0">
        <w:rPr>
          <w:rFonts w:ascii="Roboto" w:hAnsi="Roboto"/>
          <w:color w:val="404040" w:themeColor="text1" w:themeTint="BF"/>
          <w:sz w:val="21"/>
          <w:szCs w:val="21"/>
        </w:rPr>
        <w:t xml:space="preserve"> is chaired by the RC Office and provides support to the RC and UNCT on strategic communication and advocacy. </w:t>
      </w:r>
    </w:p>
    <w:p w14:paraId="27980893" w14:textId="737478EA" w:rsidR="00A90842" w:rsidRPr="00892373" w:rsidRDefault="00640F88" w:rsidP="00464AC3">
      <w:pPr>
        <w:jc w:val="both"/>
        <w:rPr>
          <w:rFonts w:ascii="Roboto" w:hAnsi="Roboto"/>
          <w:b/>
          <w:bCs/>
          <w:color w:val="404040" w:themeColor="text1" w:themeTint="BF"/>
          <w:lang w:val="en-GB"/>
        </w:rPr>
      </w:pPr>
      <w:r w:rsidRPr="007471D0">
        <w:rPr>
          <w:rFonts w:ascii="Roboto" w:hAnsi="Roboto"/>
          <w:color w:val="404040" w:themeColor="text1" w:themeTint="BF"/>
          <w:sz w:val="21"/>
          <w:szCs w:val="21"/>
        </w:rPr>
        <w:t>In addition, the RC and the UNCT will maintain technical/topical groups to ensure coherent and efficient approaches. The UNCT structure, agreed annually in the UNCT</w:t>
      </w:r>
      <w:r w:rsidR="00E26821" w:rsidRPr="007471D0">
        <w:rPr>
          <w:rFonts w:ascii="Roboto" w:hAnsi="Roboto"/>
          <w:color w:val="404040" w:themeColor="text1" w:themeTint="BF"/>
          <w:sz w:val="21"/>
          <w:szCs w:val="21"/>
        </w:rPr>
        <w:t>’s</w:t>
      </w:r>
      <w:r w:rsidRPr="007471D0">
        <w:rPr>
          <w:rFonts w:ascii="Roboto" w:hAnsi="Roboto"/>
          <w:color w:val="404040" w:themeColor="text1" w:themeTint="BF"/>
          <w:sz w:val="21"/>
          <w:szCs w:val="21"/>
        </w:rPr>
        <w:t xml:space="preserve"> Annual Retreat, is defined in Annex F.</w:t>
      </w:r>
    </w:p>
    <w:p w14:paraId="25258561" w14:textId="77777777" w:rsidR="007D3669" w:rsidRPr="00892373" w:rsidRDefault="007D3669" w:rsidP="007D3669">
      <w:pPr>
        <w:rPr>
          <w:rFonts w:ascii="Roboto" w:hAnsi="Roboto"/>
          <w:b/>
          <w:bCs/>
          <w:color w:val="404040" w:themeColor="text1" w:themeTint="BF"/>
          <w:lang w:val="en-GB"/>
        </w:rPr>
      </w:pPr>
    </w:p>
    <w:p w14:paraId="2B7A985B" w14:textId="680D1EFC" w:rsidR="007D3669" w:rsidRPr="00892373" w:rsidRDefault="007D3669" w:rsidP="007D3669">
      <w:pPr>
        <w:pStyle w:val="Heading2"/>
        <w:spacing w:before="0"/>
        <w:rPr>
          <w:rFonts w:ascii="Roboto" w:hAnsi="Roboto"/>
          <w:b/>
          <w:bCs/>
          <w:color w:val="404040" w:themeColor="text1" w:themeTint="BF"/>
          <w:lang w:val="en-GB"/>
        </w:rPr>
      </w:pPr>
      <w:bookmarkStart w:id="108" w:name="_Toc92277970"/>
      <w:bookmarkStart w:id="109" w:name="_Toc105333784"/>
      <w:r w:rsidRPr="00892373">
        <w:rPr>
          <w:rFonts w:ascii="Roboto" w:hAnsi="Roboto" w:cs="Calibri"/>
          <w:b/>
          <w:bCs/>
          <w:color w:val="404040" w:themeColor="text1" w:themeTint="BF"/>
          <w:sz w:val="24"/>
          <w:szCs w:val="24"/>
          <w:lang w:val="en-GB"/>
        </w:rPr>
        <w:t>3.</w:t>
      </w:r>
      <w:r w:rsidR="00DD16CD" w:rsidRPr="00892373">
        <w:rPr>
          <w:rFonts w:ascii="Roboto" w:hAnsi="Roboto" w:cs="Calibri"/>
          <w:b/>
          <w:bCs/>
          <w:color w:val="404040" w:themeColor="text1" w:themeTint="BF"/>
          <w:sz w:val="24"/>
          <w:szCs w:val="24"/>
          <w:lang w:val="en-GB"/>
        </w:rPr>
        <w:t>2</w:t>
      </w:r>
      <w:r w:rsidRPr="00892373">
        <w:rPr>
          <w:rFonts w:ascii="Roboto" w:hAnsi="Roboto" w:cs="Calibri"/>
          <w:b/>
          <w:bCs/>
          <w:color w:val="404040" w:themeColor="text1" w:themeTint="BF"/>
          <w:sz w:val="24"/>
          <w:szCs w:val="24"/>
          <w:lang w:val="en-GB"/>
        </w:rPr>
        <w:t>. Resourcing the UNSDCF</w:t>
      </w:r>
      <w:bookmarkEnd w:id="108"/>
      <w:bookmarkEnd w:id="109"/>
    </w:p>
    <w:p w14:paraId="774ABEE0" w14:textId="77777777" w:rsidR="00D937E9" w:rsidRDefault="00D937E9"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1933A4CA" w14:textId="72BDD2BE" w:rsidR="007D3669" w:rsidRPr="00892373" w:rsidRDefault="007D3669" w:rsidP="007D3669">
      <w:pPr>
        <w:pStyle w:val="NormalWeb"/>
        <w:spacing w:before="0" w:beforeAutospacing="0" w:after="0" w:afterAutospacing="0"/>
        <w:jc w:val="both"/>
        <w:rPr>
          <w:rFonts w:ascii="Roboto" w:hAnsi="Roboto" w:cs="Calibri"/>
          <w:color w:val="404040" w:themeColor="text1" w:themeTint="BF"/>
          <w:sz w:val="21"/>
          <w:szCs w:val="21"/>
          <w:lang w:val="en-GB"/>
        </w:rPr>
      </w:pPr>
      <w:r w:rsidRPr="00892373">
        <w:rPr>
          <w:rFonts w:ascii="Roboto" w:hAnsi="Roboto" w:cs="Calibri"/>
          <w:color w:val="404040" w:themeColor="text1" w:themeTint="BF"/>
          <w:sz w:val="21"/>
          <w:szCs w:val="21"/>
          <w:lang w:val="en-GB"/>
        </w:rPr>
        <w:t xml:space="preserve">The KSA is a high-income country, and, as such, all UN programmatic activities in the country are financed by the Government. The exceptions are the UN Resident Coordinator’s Office and technical advisory activities conducted by UN Staff and covered by UN regional or UN global funds, run independently of specific projects with the Government of the KSA. As seen in Figure 3.1, 31% (65 of 212) of 2021 UN activities already have funds committed from the ministries and Government bodies, totalling $166,3535,548. The other activities are in different phases of discussion within the Government and will be reviewed yearly. </w:t>
      </w:r>
    </w:p>
    <w:p w14:paraId="6BB9B6C1" w14:textId="77777777" w:rsidR="009F211A" w:rsidRPr="00892373" w:rsidRDefault="009F211A"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6D45A907" w14:textId="77777777" w:rsidR="007D3669" w:rsidRPr="00892373" w:rsidRDefault="007D3669" w:rsidP="007D3669">
      <w:pPr>
        <w:rPr>
          <w:rFonts w:ascii="Roboto" w:hAnsi="Roboto" w:cs="Calibri"/>
          <w:b/>
          <w:bCs/>
          <w:color w:val="404040" w:themeColor="text1" w:themeTint="BF"/>
          <w:sz w:val="21"/>
          <w:szCs w:val="21"/>
          <w:lang w:val="en-GB"/>
        </w:rPr>
      </w:pPr>
      <w:r w:rsidRPr="00892373">
        <w:rPr>
          <w:rFonts w:ascii="Roboto" w:hAnsi="Roboto" w:cs="Calibri"/>
          <w:b/>
          <w:bCs/>
          <w:color w:val="404040" w:themeColor="text1" w:themeTint="BF"/>
          <w:sz w:val="21"/>
          <w:szCs w:val="21"/>
          <w:lang w:val="en-GB"/>
        </w:rPr>
        <w:t>Figure 3.1: UN Activities by the Status of Financial Commitment</w:t>
      </w:r>
    </w:p>
    <w:p w14:paraId="247274F8" w14:textId="77777777" w:rsidR="007D3669" w:rsidRPr="00FC3819" w:rsidRDefault="007D3669" w:rsidP="007D3669">
      <w:pPr>
        <w:jc w:val="center"/>
        <w:rPr>
          <w:rFonts w:ascii="Roboto" w:hAnsi="Roboto" w:cs="Calibri"/>
          <w:b/>
          <w:color w:val="404040" w:themeColor="text1" w:themeTint="BF"/>
          <w:sz w:val="18"/>
          <w:szCs w:val="18"/>
          <w:lang w:val="en-GB"/>
        </w:rPr>
      </w:pPr>
      <w:r w:rsidRPr="00FC3819">
        <w:rPr>
          <w:rFonts w:ascii="Roboto" w:hAnsi="Roboto"/>
          <w:b/>
          <w:noProof/>
          <w:color w:val="404040" w:themeColor="text1" w:themeTint="BF"/>
          <w:lang w:val="en-GB"/>
        </w:rPr>
        <w:drawing>
          <wp:inline distT="0" distB="0" distL="0" distR="0" wp14:anchorId="4860BD89" wp14:editId="42541BC4">
            <wp:extent cx="2834640" cy="2286000"/>
            <wp:effectExtent l="0" t="0" r="0" b="0"/>
            <wp:docPr id="34" name="Chart 34">
              <a:extLst xmlns:a="http://schemas.openxmlformats.org/drawingml/2006/main">
                <a:ext uri="{FF2B5EF4-FFF2-40B4-BE49-F238E27FC236}">
                  <a16:creationId xmlns:a16="http://schemas.microsoft.com/office/drawing/2014/main" id="{8EE74CCC-5D45-4FE3-9DD5-EB2630704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FC3819">
        <w:rPr>
          <w:rFonts w:ascii="Roboto" w:hAnsi="Roboto"/>
          <w:b/>
          <w:bCs/>
          <w:noProof/>
          <w:color w:val="404040" w:themeColor="text1" w:themeTint="BF"/>
          <w:lang w:val="en-GB"/>
        </w:rPr>
        <w:drawing>
          <wp:inline distT="0" distB="0" distL="0" distR="0" wp14:anchorId="2FBA16BB" wp14:editId="1106C653">
            <wp:extent cx="2834640" cy="2286000"/>
            <wp:effectExtent l="0" t="0" r="0" b="0"/>
            <wp:docPr id="537" name="Chart 537">
              <a:extLst xmlns:a="http://schemas.openxmlformats.org/drawingml/2006/main">
                <a:ext uri="{FF2B5EF4-FFF2-40B4-BE49-F238E27FC236}">
                  <a16:creationId xmlns:a16="http://schemas.microsoft.com/office/drawing/2014/main" id="{6BD7B0C5-A136-4949-ACB1-D7BEAE84A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0467E2" w14:textId="6A53CB6B" w:rsidR="007D3669" w:rsidRDefault="007D3669" w:rsidP="00464AC3">
      <w:pPr>
        <w:widowControl w:val="0"/>
        <w:autoSpaceDE w:val="0"/>
        <w:autoSpaceDN w:val="0"/>
        <w:jc w:val="both"/>
        <w:rPr>
          <w:lang w:val="en-GB"/>
        </w:rPr>
      </w:pPr>
      <w:r w:rsidRPr="00FC3819">
        <w:rPr>
          <w:rFonts w:ascii="Roboto" w:hAnsi="Roboto" w:cs="Calibri"/>
          <w:color w:val="404040" w:themeColor="text1" w:themeTint="BF"/>
          <w:sz w:val="21"/>
          <w:szCs w:val="21"/>
          <w:lang w:val="en-GB"/>
        </w:rPr>
        <w:t xml:space="preserve">Figure </w:t>
      </w:r>
      <w:r w:rsidRPr="00FC3819">
        <w:rPr>
          <w:rFonts w:ascii="Roboto" w:eastAsiaTheme="minorHAnsi" w:hAnsi="Roboto" w:cs="Calibri"/>
          <w:color w:val="404040" w:themeColor="text1" w:themeTint="BF"/>
          <w:sz w:val="21"/>
          <w:szCs w:val="21"/>
          <w:lang w:val="en-GB"/>
        </w:rPr>
        <w:t>3</w:t>
      </w:r>
      <w:r w:rsidRPr="00FC3819">
        <w:rPr>
          <w:rFonts w:ascii="Roboto" w:hAnsi="Roboto" w:cs="Calibri"/>
          <w:color w:val="404040" w:themeColor="text1" w:themeTint="BF"/>
          <w:sz w:val="21"/>
          <w:szCs w:val="21"/>
          <w:lang w:val="en-GB"/>
        </w:rPr>
        <w:t>.1 visualize</w:t>
      </w:r>
      <w:r w:rsidRPr="00FC3819">
        <w:rPr>
          <w:rFonts w:ascii="Roboto" w:eastAsiaTheme="minorHAnsi" w:hAnsi="Roboto" w:cs="Calibri"/>
          <w:color w:val="404040" w:themeColor="text1" w:themeTint="BF"/>
          <w:sz w:val="21"/>
          <w:szCs w:val="21"/>
          <w:lang w:val="en-GB"/>
        </w:rPr>
        <w:t>s</w:t>
      </w:r>
      <w:r w:rsidRPr="00FC3819">
        <w:rPr>
          <w:rFonts w:ascii="Roboto" w:hAnsi="Roboto" w:cs="Calibri"/>
          <w:color w:val="404040" w:themeColor="text1" w:themeTint="BF"/>
          <w:sz w:val="21"/>
          <w:szCs w:val="21"/>
          <w:lang w:val="en-GB"/>
        </w:rPr>
        <w:t xml:space="preserve"> the funding status of all UN activities by total financial commitment secured and the number of activities with secured funding. In terms of funding status totals, 48% of UN activity costs ($166,353,548) have been agreed upon with the relevant Government Ministry and/or entity of the KSA. While 25% of activity costs are new suggestions not yet discussed with counterparts, 27% are currently in the pipeline and being discussed with the relevant Government Ministry and/or entity. In terms of funding status by the number of activities, of the 212 UN activities slated to take place in the KSA over the 2022 to 2026 period, 65 have been agreed upon with the relevant Government Ministry and/or entity</w:t>
      </w:r>
      <w:r w:rsidRPr="00FC3819" w:rsidDel="0030677B">
        <w:rPr>
          <w:rFonts w:ascii="Roboto" w:hAnsi="Roboto" w:cs="Calibri"/>
          <w:color w:val="404040" w:themeColor="text1" w:themeTint="BF"/>
          <w:sz w:val="21"/>
          <w:szCs w:val="21"/>
          <w:lang w:val="en-GB"/>
        </w:rPr>
        <w:t xml:space="preserve"> </w:t>
      </w:r>
      <w:r w:rsidRPr="00FC3819">
        <w:rPr>
          <w:rFonts w:ascii="Roboto" w:hAnsi="Roboto" w:cs="Calibri"/>
          <w:color w:val="404040" w:themeColor="text1" w:themeTint="BF"/>
          <w:sz w:val="21"/>
          <w:szCs w:val="21"/>
          <w:lang w:val="en-GB"/>
        </w:rPr>
        <w:t>(31%)</w:t>
      </w:r>
      <w:r w:rsidR="00914D97">
        <w:rPr>
          <w:rFonts w:ascii="Roboto" w:hAnsi="Roboto" w:cs="Calibri"/>
          <w:color w:val="404040" w:themeColor="text1" w:themeTint="BF"/>
          <w:sz w:val="21"/>
          <w:szCs w:val="21"/>
          <w:lang w:val="en-GB"/>
        </w:rPr>
        <w:t>,</w:t>
      </w:r>
      <w:r w:rsidRPr="00FC3819">
        <w:rPr>
          <w:rFonts w:ascii="Roboto" w:hAnsi="Roboto" w:cs="Calibri"/>
          <w:color w:val="404040" w:themeColor="text1" w:themeTint="BF"/>
          <w:sz w:val="21"/>
          <w:szCs w:val="21"/>
          <w:lang w:val="en-GB"/>
        </w:rPr>
        <w:t xml:space="preserve"> while 60 are currently in the pipeline and being discussed (28%), and 87 are new suggestions still to be discussed with the relevant Government Ministry and/or entity</w:t>
      </w:r>
      <w:r w:rsidRPr="00FC3819" w:rsidDel="0030677B">
        <w:rPr>
          <w:rFonts w:ascii="Roboto" w:hAnsi="Roboto" w:cs="Calibri"/>
          <w:color w:val="404040" w:themeColor="text1" w:themeTint="BF"/>
          <w:sz w:val="21"/>
          <w:szCs w:val="21"/>
          <w:lang w:val="en-GB"/>
        </w:rPr>
        <w:t xml:space="preserve"> </w:t>
      </w:r>
      <w:r w:rsidRPr="00FC3819">
        <w:rPr>
          <w:rFonts w:ascii="Roboto" w:hAnsi="Roboto" w:cs="Calibri"/>
          <w:color w:val="404040" w:themeColor="text1" w:themeTint="BF"/>
          <w:sz w:val="21"/>
          <w:szCs w:val="21"/>
          <w:lang w:val="en-GB"/>
        </w:rPr>
        <w:t>(41%). As previously mentioned, the UNSDCF and its activities will be reviewed annually.</w:t>
      </w:r>
    </w:p>
    <w:p w14:paraId="1411F8D5" w14:textId="77777777" w:rsidR="007D3669" w:rsidRDefault="007D3669" w:rsidP="007D3669">
      <w:pPr>
        <w:pStyle w:val="NormalWeb"/>
        <w:spacing w:before="0" w:beforeAutospacing="0" w:after="0" w:afterAutospacing="0"/>
        <w:jc w:val="both"/>
        <w:rPr>
          <w:rFonts w:ascii="Roboto" w:hAnsi="Roboto"/>
          <w:b/>
          <w:bCs/>
          <w:color w:val="404040" w:themeColor="text1" w:themeTint="BF"/>
          <w:lang w:val="en-GB"/>
        </w:rPr>
      </w:pPr>
    </w:p>
    <w:p w14:paraId="2C18728C" w14:textId="504EF73A" w:rsidR="007D3669" w:rsidRPr="003C206F" w:rsidRDefault="007D3669" w:rsidP="007D3669">
      <w:pPr>
        <w:pStyle w:val="Heading2"/>
        <w:spacing w:before="0"/>
        <w:rPr>
          <w:rFonts w:ascii="Roboto" w:hAnsi="Roboto"/>
          <w:b/>
          <w:bCs/>
          <w:color w:val="404040" w:themeColor="text1" w:themeTint="BF"/>
          <w:lang w:val="en-GB"/>
        </w:rPr>
      </w:pPr>
      <w:bookmarkStart w:id="110" w:name="_Toc92277971"/>
      <w:bookmarkStart w:id="111" w:name="_Toc105333785"/>
      <w:r w:rsidRPr="003C206F">
        <w:rPr>
          <w:rFonts w:ascii="Roboto" w:hAnsi="Roboto" w:cs="Calibri"/>
          <w:b/>
          <w:bCs/>
          <w:color w:val="404040" w:themeColor="text1" w:themeTint="BF"/>
          <w:sz w:val="24"/>
          <w:szCs w:val="24"/>
          <w:lang w:val="en-GB"/>
        </w:rPr>
        <w:t>3.</w:t>
      </w:r>
      <w:r w:rsidR="00DD16CD">
        <w:rPr>
          <w:rFonts w:ascii="Roboto" w:hAnsi="Roboto" w:cs="Calibri"/>
          <w:b/>
          <w:bCs/>
          <w:color w:val="404040" w:themeColor="text1" w:themeTint="BF"/>
          <w:sz w:val="24"/>
          <w:szCs w:val="24"/>
          <w:lang w:val="en-GB"/>
        </w:rPr>
        <w:t>3</w:t>
      </w:r>
      <w:r w:rsidRPr="003C206F">
        <w:rPr>
          <w:rFonts w:ascii="Roboto" w:hAnsi="Roboto" w:cs="Calibri"/>
          <w:b/>
          <w:bCs/>
          <w:color w:val="404040" w:themeColor="text1" w:themeTint="BF"/>
          <w:sz w:val="24"/>
          <w:szCs w:val="24"/>
          <w:lang w:val="en-GB"/>
        </w:rPr>
        <w:t>. Derivation of UN Entity Country Programming Instruments from the UNSDCF</w:t>
      </w:r>
      <w:bookmarkEnd w:id="110"/>
      <w:bookmarkEnd w:id="111"/>
    </w:p>
    <w:p w14:paraId="03260CFE" w14:textId="77777777" w:rsidR="0004584D" w:rsidRDefault="0004584D"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40EF205A" w14:textId="1836A35E" w:rsidR="007D3669" w:rsidRDefault="007D3669" w:rsidP="007D3669">
      <w:pPr>
        <w:pStyle w:val="NormalWeb"/>
        <w:spacing w:before="0" w:beforeAutospacing="0" w:after="0" w:afterAutospacing="0"/>
        <w:jc w:val="both"/>
        <w:rPr>
          <w:lang w:val="en-GB"/>
        </w:rPr>
      </w:pPr>
      <w:r w:rsidRPr="003C206F">
        <w:rPr>
          <w:rFonts w:ascii="Roboto" w:hAnsi="Roboto" w:cs="Calibri"/>
          <w:color w:val="404040" w:themeColor="text1" w:themeTint="BF"/>
          <w:sz w:val="21"/>
          <w:szCs w:val="21"/>
          <w:lang w:val="en-GB"/>
        </w:rPr>
        <w:t>The signing of the UNSDCF is a prerequisite for UN activities to continu</w:t>
      </w:r>
      <w:r>
        <w:rPr>
          <w:rFonts w:ascii="Roboto" w:hAnsi="Roboto" w:cs="Calibri"/>
          <w:color w:val="404040" w:themeColor="text1" w:themeTint="BF"/>
          <w:sz w:val="21"/>
          <w:szCs w:val="21"/>
          <w:lang w:val="en-GB"/>
        </w:rPr>
        <w:t>e even though</w:t>
      </w:r>
      <w:r w:rsidRPr="003C206F">
        <w:rPr>
          <w:rFonts w:ascii="Roboto" w:hAnsi="Roboto" w:cs="Calibri"/>
          <w:color w:val="404040" w:themeColor="text1" w:themeTint="BF"/>
          <w:sz w:val="21"/>
          <w:szCs w:val="21"/>
          <w:lang w:val="en-GB"/>
        </w:rPr>
        <w:t xml:space="preserve"> agreements and financing processes are conducted directly between </w:t>
      </w:r>
      <w:r w:rsidR="00E627A2">
        <w:rPr>
          <w:rFonts w:ascii="Roboto" w:hAnsi="Roboto" w:cs="Calibri"/>
          <w:color w:val="404040" w:themeColor="text1" w:themeTint="BF"/>
          <w:sz w:val="21"/>
          <w:szCs w:val="21"/>
          <w:lang w:val="en-GB"/>
        </w:rPr>
        <w:t>UN entities</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M</w:t>
      </w:r>
      <w:r w:rsidRPr="003C206F">
        <w:rPr>
          <w:rFonts w:ascii="Roboto" w:hAnsi="Roboto" w:cs="Calibri"/>
          <w:color w:val="404040" w:themeColor="text1" w:themeTint="BF"/>
          <w:sz w:val="21"/>
          <w:szCs w:val="21"/>
          <w:lang w:val="en-GB"/>
        </w:rPr>
        <w:t>inistries, and Government bodies.</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The UNSDCF is implemented through the country programme instruments of UN development system entities. Since the timelines of the country programme instruments and the UNSDCF </w:t>
      </w:r>
      <w:r>
        <w:rPr>
          <w:rFonts w:ascii="Roboto" w:hAnsi="Roboto" w:cs="Calibri"/>
          <w:color w:val="404040" w:themeColor="text1" w:themeTint="BF"/>
          <w:sz w:val="21"/>
          <w:szCs w:val="21"/>
          <w:lang w:val="en-GB"/>
        </w:rPr>
        <w:t xml:space="preserve">time frame </w:t>
      </w:r>
      <w:r w:rsidRPr="003C206F">
        <w:rPr>
          <w:rFonts w:ascii="Roboto" w:hAnsi="Roboto" w:cs="Calibri"/>
          <w:color w:val="404040" w:themeColor="text1" w:themeTint="BF"/>
          <w:sz w:val="21"/>
          <w:szCs w:val="21"/>
          <w:lang w:val="en-GB"/>
        </w:rPr>
        <w:t xml:space="preserve">do not overlap for the majority of UNCT members, </w:t>
      </w:r>
      <w:r>
        <w:rPr>
          <w:rFonts w:ascii="Roboto" w:hAnsi="Roboto" w:cs="Calibri"/>
          <w:color w:val="404040" w:themeColor="text1" w:themeTint="BF"/>
          <w:sz w:val="21"/>
          <w:szCs w:val="21"/>
          <w:lang w:val="en-GB"/>
        </w:rPr>
        <w:t xml:space="preserve">each </w:t>
      </w:r>
      <w:r w:rsidR="00E627A2">
        <w:rPr>
          <w:rFonts w:ascii="Roboto" w:hAnsi="Roboto" w:cs="Calibri"/>
          <w:color w:val="404040" w:themeColor="text1" w:themeTint="BF"/>
          <w:sz w:val="21"/>
          <w:szCs w:val="21"/>
          <w:lang w:val="en-GB"/>
        </w:rPr>
        <w:t>UN entit</w:t>
      </w:r>
      <w:r w:rsidR="00470709">
        <w:rPr>
          <w:rFonts w:ascii="Roboto" w:hAnsi="Roboto" w:cs="Calibri"/>
          <w:color w:val="404040" w:themeColor="text1" w:themeTint="BF"/>
          <w:sz w:val="21"/>
          <w:szCs w:val="21"/>
          <w:lang w:val="en-GB"/>
        </w:rPr>
        <w:t>y</w:t>
      </w:r>
      <w:r w:rsidR="00E627A2" w:rsidDel="00E627A2">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 xml:space="preserve">will adopt and adapt the UNSDCF 2022-2026 to meet the arrangements with their partner Ministries and their own corporate planning and reporting requirements. After which, </w:t>
      </w:r>
      <w:r w:rsidRPr="003C206F">
        <w:rPr>
          <w:rFonts w:ascii="Roboto" w:hAnsi="Roboto" w:cs="Calibri"/>
          <w:color w:val="404040" w:themeColor="text1" w:themeTint="BF"/>
          <w:sz w:val="21"/>
          <w:szCs w:val="21"/>
          <w:lang w:val="en-GB"/>
        </w:rPr>
        <w:t>UN entit</w:t>
      </w:r>
      <w:r w:rsidR="00470709">
        <w:rPr>
          <w:rFonts w:ascii="Roboto" w:hAnsi="Roboto" w:cs="Calibri"/>
          <w:color w:val="404040" w:themeColor="text1" w:themeTint="BF"/>
          <w:sz w:val="21"/>
          <w:szCs w:val="21"/>
          <w:lang w:val="en-GB"/>
        </w:rPr>
        <w:t>y</w:t>
      </w:r>
      <w:r w:rsidRPr="003C206F">
        <w:rPr>
          <w:rFonts w:ascii="Roboto" w:hAnsi="Roboto" w:cs="Calibri"/>
          <w:color w:val="404040" w:themeColor="text1" w:themeTint="BF"/>
          <w:sz w:val="21"/>
          <w:szCs w:val="21"/>
          <w:lang w:val="en-GB"/>
        </w:rPr>
        <w:t xml:space="preserve"> will finalize their instruments, incorporating feedback from UNCT members, and submit them to their governing body.</w:t>
      </w:r>
    </w:p>
    <w:p w14:paraId="30B8FF14" w14:textId="77777777" w:rsidR="007D3669" w:rsidRDefault="007D3669" w:rsidP="007D3669">
      <w:pPr>
        <w:rPr>
          <w:rFonts w:ascii="Roboto" w:hAnsi="Roboto"/>
          <w:b/>
          <w:bCs/>
          <w:color w:val="404040" w:themeColor="text1" w:themeTint="BF"/>
          <w:lang w:val="en-GB"/>
        </w:rPr>
      </w:pPr>
    </w:p>
    <w:p w14:paraId="441E68B3" w14:textId="77777777" w:rsidR="007D3669" w:rsidRPr="003C206F" w:rsidRDefault="007D3669" w:rsidP="007D3669">
      <w:pPr>
        <w:rPr>
          <w:rFonts w:ascii="Roboto" w:hAnsi="Roboto"/>
          <w:b/>
          <w:bCs/>
          <w:color w:val="404040" w:themeColor="text1" w:themeTint="BF"/>
          <w:lang w:val="en-GB"/>
        </w:rPr>
      </w:pPr>
    </w:p>
    <w:p w14:paraId="5DA36AF9" w14:textId="10230A20" w:rsidR="007D3669" w:rsidRPr="003C206F" w:rsidRDefault="007D3669" w:rsidP="007D3669">
      <w:pPr>
        <w:pStyle w:val="Heading2"/>
        <w:spacing w:before="0"/>
        <w:rPr>
          <w:rFonts w:ascii="Roboto" w:hAnsi="Roboto"/>
          <w:b/>
          <w:bCs/>
          <w:color w:val="404040" w:themeColor="text1" w:themeTint="BF"/>
          <w:lang w:val="en-GB"/>
        </w:rPr>
      </w:pPr>
      <w:bookmarkStart w:id="112" w:name="_Toc92277972"/>
      <w:bookmarkStart w:id="113" w:name="_Toc105333786"/>
      <w:r w:rsidRPr="003C206F">
        <w:rPr>
          <w:rFonts w:ascii="Roboto" w:hAnsi="Roboto" w:cs="Calibri"/>
          <w:b/>
          <w:bCs/>
          <w:color w:val="404040" w:themeColor="text1" w:themeTint="BF"/>
          <w:sz w:val="24"/>
          <w:szCs w:val="24"/>
          <w:lang w:val="en-GB"/>
        </w:rPr>
        <w:t>3.</w:t>
      </w:r>
      <w:r w:rsidR="00DD16CD">
        <w:rPr>
          <w:rFonts w:ascii="Roboto" w:hAnsi="Roboto" w:cs="Calibri"/>
          <w:b/>
          <w:bCs/>
          <w:color w:val="404040" w:themeColor="text1" w:themeTint="BF"/>
          <w:sz w:val="24"/>
          <w:szCs w:val="24"/>
          <w:lang w:val="en-GB"/>
        </w:rPr>
        <w:t>4</w:t>
      </w:r>
      <w:r w:rsidRPr="003C206F">
        <w:rPr>
          <w:rFonts w:ascii="Roboto" w:hAnsi="Roboto" w:cs="Calibri"/>
          <w:b/>
          <w:bCs/>
          <w:color w:val="404040" w:themeColor="text1" w:themeTint="BF"/>
          <w:sz w:val="24"/>
          <w:szCs w:val="24"/>
          <w:lang w:val="en-GB"/>
        </w:rPr>
        <w:t xml:space="preserve">. </w:t>
      </w:r>
      <w:r w:rsidR="00892373">
        <w:rPr>
          <w:rFonts w:ascii="Roboto" w:hAnsi="Roboto" w:cs="Calibri"/>
          <w:b/>
          <w:bCs/>
          <w:color w:val="404040" w:themeColor="text1" w:themeTint="BF"/>
          <w:sz w:val="24"/>
          <w:szCs w:val="24"/>
          <w:lang w:val="en-GB"/>
        </w:rPr>
        <w:t xml:space="preserve">UN </w:t>
      </w:r>
      <w:r w:rsidRPr="003C206F">
        <w:rPr>
          <w:rFonts w:ascii="Roboto" w:hAnsi="Roboto" w:cs="Calibri"/>
          <w:b/>
          <w:bCs/>
          <w:color w:val="404040" w:themeColor="text1" w:themeTint="BF"/>
          <w:sz w:val="24"/>
          <w:szCs w:val="24"/>
          <w:lang w:val="en-GB"/>
        </w:rPr>
        <w:t>Joint Workplans</w:t>
      </w:r>
      <w:bookmarkEnd w:id="112"/>
      <w:bookmarkEnd w:id="113"/>
    </w:p>
    <w:p w14:paraId="1D78DCAA" w14:textId="77777777" w:rsidR="0004584D" w:rsidRDefault="0004584D"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614BCB64" w14:textId="179A81F9" w:rsidR="007D3669" w:rsidRPr="003C206F" w:rsidRDefault="007D3669" w:rsidP="007D3669">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w:t>
      </w:r>
      <w:r w:rsidR="00A5063E">
        <w:rPr>
          <w:rFonts w:ascii="Roboto" w:hAnsi="Roboto" w:cs="Calibri"/>
          <w:color w:val="404040" w:themeColor="text1" w:themeTint="BF"/>
          <w:sz w:val="21"/>
          <w:szCs w:val="21"/>
          <w:lang w:val="en-GB"/>
        </w:rPr>
        <w:t xml:space="preserve">Results groups </w:t>
      </w:r>
      <w:r w:rsidRPr="003C206F">
        <w:rPr>
          <w:rFonts w:ascii="Roboto" w:hAnsi="Roboto" w:cs="Calibri"/>
          <w:color w:val="404040" w:themeColor="text1" w:themeTint="BF"/>
          <w:sz w:val="21"/>
          <w:szCs w:val="21"/>
          <w:lang w:val="en-GB"/>
        </w:rPr>
        <w:t xml:space="preserve">will develop </w:t>
      </w:r>
      <w:r w:rsidR="00892373">
        <w:rPr>
          <w:rFonts w:ascii="Roboto" w:hAnsi="Roboto" w:cs="Calibri"/>
          <w:color w:val="404040" w:themeColor="text1" w:themeTint="BF"/>
          <w:sz w:val="21"/>
          <w:szCs w:val="21"/>
          <w:lang w:val="en-GB"/>
        </w:rPr>
        <w:t xml:space="preserve">UN </w:t>
      </w:r>
      <w:r w:rsidRPr="003C206F">
        <w:rPr>
          <w:rFonts w:ascii="Roboto" w:hAnsi="Roboto" w:cs="Calibri"/>
          <w:color w:val="404040" w:themeColor="text1" w:themeTint="BF"/>
          <w:sz w:val="21"/>
          <w:szCs w:val="21"/>
          <w:lang w:val="en-GB"/>
        </w:rPr>
        <w:t xml:space="preserve">Joint Workplans to collectively deliver the expected results. The </w:t>
      </w:r>
      <w:r w:rsidR="00A5063E">
        <w:rPr>
          <w:rFonts w:ascii="Roboto" w:hAnsi="Roboto" w:cs="Calibri"/>
          <w:color w:val="404040" w:themeColor="text1" w:themeTint="BF"/>
          <w:sz w:val="21"/>
          <w:szCs w:val="21"/>
          <w:lang w:val="en-GB"/>
        </w:rPr>
        <w:t>Results groups</w:t>
      </w:r>
      <w:r w:rsidRPr="003C206F">
        <w:rPr>
          <w:rFonts w:ascii="Roboto" w:hAnsi="Roboto" w:cs="Calibri"/>
          <w:color w:val="404040" w:themeColor="text1" w:themeTint="BF"/>
          <w:sz w:val="21"/>
          <w:szCs w:val="21"/>
          <w:lang w:val="en-GB"/>
        </w:rPr>
        <w:t xml:space="preserve"> will ensure that </w:t>
      </w:r>
      <w:r w:rsidR="00892373">
        <w:rPr>
          <w:rFonts w:ascii="Roboto" w:hAnsi="Roboto" w:cs="Calibri"/>
          <w:color w:val="404040" w:themeColor="text1" w:themeTint="BF"/>
          <w:sz w:val="21"/>
          <w:szCs w:val="21"/>
          <w:lang w:val="en-GB"/>
        </w:rPr>
        <w:t xml:space="preserve">UN </w:t>
      </w:r>
      <w:r w:rsidRPr="003C206F">
        <w:rPr>
          <w:rFonts w:ascii="Roboto" w:hAnsi="Roboto" w:cs="Calibri"/>
          <w:color w:val="404040" w:themeColor="text1" w:themeTint="BF"/>
          <w:sz w:val="21"/>
          <w:szCs w:val="21"/>
          <w:lang w:val="en-GB"/>
        </w:rPr>
        <w:t>Joint Workplans respond to the evolving context of the KSA through annual updates of the UNSDCF, Annual Performance Review</w:t>
      </w:r>
      <w:r>
        <w:rPr>
          <w:rFonts w:ascii="Roboto" w:hAnsi="Roboto" w:cs="Calibri"/>
          <w:color w:val="404040" w:themeColor="text1" w:themeTint="BF"/>
          <w:sz w:val="21"/>
          <w:szCs w:val="21"/>
          <w:lang w:val="en-GB"/>
        </w:rPr>
        <w:t>, and other relevant documents,</w:t>
      </w:r>
      <w:r w:rsidRPr="003C206F">
        <w:rPr>
          <w:rFonts w:ascii="Roboto" w:hAnsi="Roboto" w:cs="Calibri"/>
          <w:color w:val="404040" w:themeColor="text1" w:themeTint="BF"/>
          <w:sz w:val="21"/>
          <w:szCs w:val="21"/>
          <w:lang w:val="en-GB"/>
        </w:rPr>
        <w:t xml:space="preserve"> and through yearly monitoring and evaluation.</w:t>
      </w:r>
    </w:p>
    <w:p w14:paraId="33C69B9D" w14:textId="77777777" w:rsidR="007D3669" w:rsidRDefault="007D3669" w:rsidP="007D3669">
      <w:pPr>
        <w:rPr>
          <w:rFonts w:ascii="Roboto" w:hAnsi="Roboto"/>
          <w:b/>
          <w:bCs/>
          <w:color w:val="404040" w:themeColor="text1" w:themeTint="BF"/>
          <w:lang w:val="en-GB"/>
        </w:rPr>
      </w:pPr>
    </w:p>
    <w:p w14:paraId="654C992B" w14:textId="77777777" w:rsidR="007D3669" w:rsidRPr="003C206F" w:rsidRDefault="007D3669" w:rsidP="007D3669">
      <w:pPr>
        <w:rPr>
          <w:rFonts w:ascii="Roboto" w:hAnsi="Roboto"/>
          <w:b/>
          <w:bCs/>
          <w:color w:val="404040" w:themeColor="text1" w:themeTint="BF"/>
          <w:lang w:val="en-GB"/>
        </w:rPr>
      </w:pPr>
    </w:p>
    <w:p w14:paraId="469CFD3C" w14:textId="415CEA84" w:rsidR="007D3669" w:rsidRPr="003C206F" w:rsidRDefault="007D3669" w:rsidP="007D3669">
      <w:pPr>
        <w:pStyle w:val="Heading2"/>
        <w:spacing w:before="0"/>
        <w:rPr>
          <w:rFonts w:ascii="Roboto" w:hAnsi="Roboto"/>
          <w:b/>
          <w:bCs/>
          <w:color w:val="404040" w:themeColor="text1" w:themeTint="BF"/>
          <w:lang w:val="en-GB"/>
        </w:rPr>
      </w:pPr>
      <w:bookmarkStart w:id="114" w:name="_Toc92277973"/>
      <w:bookmarkStart w:id="115" w:name="_Toc105333787"/>
      <w:r w:rsidRPr="003C206F">
        <w:rPr>
          <w:rFonts w:ascii="Roboto" w:hAnsi="Roboto" w:cs="Calibri"/>
          <w:b/>
          <w:bCs/>
          <w:color w:val="404040" w:themeColor="text1" w:themeTint="BF"/>
          <w:sz w:val="24"/>
          <w:szCs w:val="24"/>
          <w:lang w:val="en-GB"/>
        </w:rPr>
        <w:t>3.</w:t>
      </w:r>
      <w:r w:rsidR="00DD16CD">
        <w:rPr>
          <w:rFonts w:ascii="Roboto" w:hAnsi="Roboto" w:cs="Calibri"/>
          <w:b/>
          <w:bCs/>
          <w:color w:val="404040" w:themeColor="text1" w:themeTint="BF"/>
          <w:sz w:val="24"/>
          <w:szCs w:val="24"/>
          <w:lang w:val="en-GB"/>
        </w:rPr>
        <w:t>5</w:t>
      </w:r>
      <w:r w:rsidRPr="003C206F">
        <w:rPr>
          <w:rFonts w:ascii="Roboto" w:hAnsi="Roboto" w:cs="Calibri"/>
          <w:b/>
          <w:bCs/>
          <w:color w:val="404040" w:themeColor="text1" w:themeTint="BF"/>
          <w:sz w:val="24"/>
          <w:szCs w:val="24"/>
          <w:lang w:val="en-GB"/>
        </w:rPr>
        <w:t>. Business Operations Strategy in support of the UNSDCF</w:t>
      </w:r>
      <w:bookmarkEnd w:id="114"/>
      <w:bookmarkEnd w:id="115"/>
    </w:p>
    <w:p w14:paraId="70468A46" w14:textId="77777777" w:rsidR="0004584D" w:rsidRDefault="0004584D" w:rsidP="007D3669">
      <w:pPr>
        <w:pStyle w:val="NormalWeb"/>
        <w:spacing w:before="0" w:beforeAutospacing="0" w:after="0" w:afterAutospacing="0"/>
        <w:jc w:val="both"/>
        <w:rPr>
          <w:rFonts w:ascii="Roboto" w:hAnsi="Roboto" w:cs="Calibri"/>
          <w:color w:val="404040" w:themeColor="text1" w:themeTint="BF"/>
          <w:sz w:val="21"/>
          <w:szCs w:val="21"/>
          <w:lang w:val="en-GB"/>
        </w:rPr>
      </w:pPr>
    </w:p>
    <w:p w14:paraId="2D846210" w14:textId="2C41B842" w:rsidR="007D3669" w:rsidRDefault="007D3669" w:rsidP="007D3669">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Business Operations Strategy (BOS) is a results-based framework that focuses on joint business operations with the purpose of eliminating duplication, leveraging the common bargaining power of the UN, and maximizing economies of scale. In line with the Secretary-General’s UN Reform targets, the KSA’s UNCT has designed a BOS to support the more effective delivery of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The BOS is intended to support the AFPs in the KSA to achieve faster and better results while ensuring that the highest quality of services is provided. It also strives to help better position the UN in the local market and increase its visibility. The BOS in the KSA focuses primarily on efficiency gains and cost avoidance. It aims to enhance internal transaction cost avoidance, improve the quality of services, and save costs on externally sourced goods and services. For the complete BOS for the UN in the KSA, see Annex </w:t>
      </w:r>
      <w:r>
        <w:rPr>
          <w:rFonts w:ascii="Roboto" w:hAnsi="Roboto" w:cs="Calibri"/>
          <w:color w:val="404040" w:themeColor="text1" w:themeTint="BF"/>
          <w:sz w:val="21"/>
          <w:szCs w:val="21"/>
          <w:lang w:val="en-GB"/>
        </w:rPr>
        <w:t>D</w:t>
      </w:r>
      <w:r w:rsidRPr="003C206F">
        <w:rPr>
          <w:rFonts w:ascii="Roboto" w:hAnsi="Roboto" w:cs="Calibri"/>
          <w:color w:val="404040" w:themeColor="text1" w:themeTint="BF"/>
          <w:sz w:val="21"/>
          <w:szCs w:val="21"/>
          <w:lang w:val="en-GB"/>
        </w:rPr>
        <w:t>.</w:t>
      </w:r>
    </w:p>
    <w:p w14:paraId="17C5C116" w14:textId="5AC32A80" w:rsidR="00871C7A" w:rsidRPr="003C206F" w:rsidRDefault="007D3669" w:rsidP="007D3669">
      <w:pPr>
        <w:rPr>
          <w:rFonts w:ascii="Roboto" w:hAnsi="Roboto" w:cs="Calibri"/>
          <w:color w:val="404040" w:themeColor="text1" w:themeTint="BF"/>
          <w:sz w:val="21"/>
          <w:szCs w:val="21"/>
          <w:lang w:val="en-GB"/>
        </w:rPr>
        <w:sectPr w:rsidR="00871C7A" w:rsidRPr="003C206F" w:rsidSect="00EB2ED3">
          <w:type w:val="continuous"/>
          <w:pgSz w:w="11900" w:h="16820"/>
          <w:pgMar w:top="1440" w:right="1440" w:bottom="1440" w:left="1440" w:header="720" w:footer="720" w:gutter="0"/>
          <w:cols w:space="720"/>
          <w:noEndnote/>
          <w:docGrid w:linePitch="360"/>
        </w:sectPr>
      </w:pPr>
      <w:r>
        <w:rPr>
          <w:rFonts w:ascii="Roboto" w:hAnsi="Roboto" w:cs="Calibri"/>
          <w:color w:val="404040" w:themeColor="text1" w:themeTint="BF"/>
          <w:sz w:val="21"/>
          <w:szCs w:val="21"/>
          <w:lang w:val="en-GB"/>
        </w:rPr>
        <w:br w:type="page"/>
      </w:r>
      <w:r>
        <w:rPr>
          <w:rFonts w:ascii="Roboto" w:eastAsia="Calibri" w:hAnsi="Roboto" w:cs="Calibri"/>
          <w:b/>
          <w:bCs/>
          <w:noProof/>
          <w:color w:val="404040" w:themeColor="text1" w:themeTint="BF"/>
          <w:lang w:val="en-GB"/>
        </w:rPr>
        <w:lastRenderedPageBreak/>
        <w:drawing>
          <wp:anchor distT="0" distB="0" distL="114300" distR="114300" simplePos="0" relativeHeight="251743310" behindDoc="1" locked="0" layoutInCell="1" allowOverlap="1" wp14:anchorId="1E783624" wp14:editId="0C424A44">
            <wp:simplePos x="0" y="0"/>
            <wp:positionH relativeFrom="page">
              <wp:align>left</wp:align>
            </wp:positionH>
            <wp:positionV relativeFrom="paragraph">
              <wp:posOffset>-915946</wp:posOffset>
            </wp:positionV>
            <wp:extent cx="7557770" cy="10776635"/>
            <wp:effectExtent l="0" t="0" r="5080" b="571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58">
                      <a:extLst>
                        <a:ext uri="{28A0092B-C50C-407E-A947-70E740481C1C}">
                          <a14:useLocalDpi xmlns:a14="http://schemas.microsoft.com/office/drawing/2010/main" val="0"/>
                        </a:ext>
                      </a:extLst>
                    </a:blip>
                    <a:stretch>
                      <a:fillRect/>
                    </a:stretch>
                  </pic:blipFill>
                  <pic:spPr>
                    <a:xfrm>
                      <a:off x="0" y="0"/>
                      <a:ext cx="7557770" cy="10776635"/>
                    </a:xfrm>
                    <a:prstGeom prst="rect">
                      <a:avLst/>
                    </a:prstGeom>
                  </pic:spPr>
                </pic:pic>
              </a:graphicData>
            </a:graphic>
            <wp14:sizeRelH relativeFrom="page">
              <wp14:pctWidth>0</wp14:pctWidth>
            </wp14:sizeRelH>
            <wp14:sizeRelV relativeFrom="page">
              <wp14:pctHeight>0</wp14:pctHeight>
            </wp14:sizeRelV>
          </wp:anchor>
        </w:drawing>
      </w:r>
      <w:r w:rsidR="00B30973">
        <w:rPr>
          <w:rFonts w:ascii="Roboto" w:hAnsi="Roboto" w:cs="Calibri"/>
          <w:color w:val="404040" w:themeColor="text1" w:themeTint="BF"/>
          <w:sz w:val="21"/>
          <w:szCs w:val="21"/>
          <w:lang w:val="en-GB"/>
        </w:rPr>
        <w:t xml:space="preserve">       </w:t>
      </w:r>
    </w:p>
    <w:p w14:paraId="20B556CD" w14:textId="6257BB8E" w:rsidR="00871C7A" w:rsidRPr="003C206F" w:rsidRDefault="00871C7A" w:rsidP="006234F4">
      <w:pPr>
        <w:rPr>
          <w:rFonts w:ascii="Roboto" w:hAnsi="Roboto"/>
          <w:b/>
          <w:bCs/>
          <w:color w:val="404040" w:themeColor="text1" w:themeTint="BF"/>
          <w:lang w:val="en-GB"/>
        </w:rPr>
      </w:pPr>
    </w:p>
    <w:p w14:paraId="191C937A" w14:textId="77777777" w:rsidR="00871C7A" w:rsidRPr="003C206F" w:rsidRDefault="00871C7A" w:rsidP="00481844">
      <w:pPr>
        <w:rPr>
          <w:rFonts w:ascii="Roboto" w:eastAsia="Calibri" w:hAnsi="Roboto" w:cs="Calibri"/>
          <w:b/>
          <w:bCs/>
          <w:color w:val="404040" w:themeColor="text1" w:themeTint="BF"/>
          <w:sz w:val="2"/>
          <w:szCs w:val="2"/>
          <w:lang w:val="en-GB"/>
        </w:rPr>
        <w:sectPr w:rsidR="00871C7A" w:rsidRPr="003C206F" w:rsidSect="00EB2ED3">
          <w:type w:val="continuous"/>
          <w:pgSz w:w="11900" w:h="16820"/>
          <w:pgMar w:top="1440" w:right="1440" w:bottom="1440" w:left="1440" w:header="720" w:footer="720" w:gutter="0"/>
          <w:cols w:num="2" w:space="720"/>
          <w:noEndnote/>
          <w:docGrid w:linePitch="360"/>
        </w:sectPr>
      </w:pPr>
    </w:p>
    <w:p w14:paraId="0DBE859A" w14:textId="21B78EEF" w:rsidR="00871C7A" w:rsidRPr="003C206F" w:rsidRDefault="00871C7A" w:rsidP="00831469">
      <w:pPr>
        <w:rPr>
          <w:rFonts w:ascii="Roboto" w:eastAsia="Calibri" w:hAnsi="Roboto" w:cs="Calibri"/>
          <w:b/>
          <w:bCs/>
          <w:color w:val="404040" w:themeColor="text1" w:themeTint="BF"/>
          <w:sz w:val="2"/>
          <w:szCs w:val="2"/>
          <w:lang w:val="en-GB"/>
        </w:rPr>
        <w:sectPr w:rsidR="00871C7A" w:rsidRPr="003C206F" w:rsidSect="00EB2ED3">
          <w:type w:val="continuous"/>
          <w:pgSz w:w="11900" w:h="16820"/>
          <w:pgMar w:top="1440" w:right="1440" w:bottom="1440" w:left="1440" w:header="720" w:footer="720" w:gutter="0"/>
          <w:cols w:space="720"/>
          <w:noEndnote/>
          <w:docGrid w:linePitch="360"/>
        </w:sectPr>
      </w:pPr>
      <w:bookmarkStart w:id="116" w:name="_Toc86691848"/>
      <w:r w:rsidRPr="003C206F">
        <w:rPr>
          <w:rFonts w:ascii="Roboto" w:eastAsia="Calibri" w:hAnsi="Roboto" w:cs="Calibri"/>
          <w:b/>
          <w:bCs/>
          <w:color w:val="404040" w:themeColor="text1" w:themeTint="BF"/>
          <w:sz w:val="2"/>
          <w:szCs w:val="2"/>
          <w:lang w:val="en-GB"/>
        </w:rPr>
        <w:tab/>
      </w:r>
      <w:bookmarkEnd w:id="116"/>
    </w:p>
    <w:p w14:paraId="17159809" w14:textId="785270CE" w:rsidR="00871C7A" w:rsidRPr="003C206F" w:rsidRDefault="00871C7A" w:rsidP="00031B87">
      <w:pPr>
        <w:rPr>
          <w:rFonts w:ascii="Roboto" w:eastAsia="Calibri" w:hAnsi="Roboto" w:cs="Calibri"/>
          <w:b/>
          <w:bCs/>
          <w:color w:val="404040" w:themeColor="text1" w:themeTint="BF"/>
          <w:sz w:val="2"/>
          <w:szCs w:val="2"/>
          <w:lang w:val="en-GB"/>
        </w:rPr>
      </w:pPr>
    </w:p>
    <w:p w14:paraId="16B13A46" w14:textId="0D4E9DD9" w:rsidR="00871C7A" w:rsidRPr="003C206F" w:rsidRDefault="00871C7A" w:rsidP="00031B87">
      <w:pPr>
        <w:rPr>
          <w:rFonts w:ascii="Roboto" w:eastAsia="Calibri" w:hAnsi="Roboto" w:cs="Calibri"/>
          <w:b/>
          <w:bCs/>
          <w:color w:val="404040" w:themeColor="text1" w:themeTint="BF"/>
          <w:lang w:val="en-GB"/>
        </w:rPr>
      </w:pPr>
    </w:p>
    <w:p w14:paraId="552733C2" w14:textId="74B0BED7" w:rsidR="00871C7A" w:rsidRPr="003C206F" w:rsidRDefault="00871C7A" w:rsidP="00031B87">
      <w:pPr>
        <w:rPr>
          <w:rFonts w:ascii="Roboto" w:eastAsia="Calibri" w:hAnsi="Roboto" w:cs="Calibri"/>
          <w:b/>
          <w:bCs/>
          <w:color w:val="404040" w:themeColor="text1" w:themeTint="BF"/>
          <w:lang w:val="en-GB"/>
        </w:rPr>
      </w:pPr>
    </w:p>
    <w:p w14:paraId="0F111656" w14:textId="024E829C" w:rsidR="00871C7A" w:rsidRPr="003C206F" w:rsidRDefault="00871C7A" w:rsidP="00031B87">
      <w:pPr>
        <w:rPr>
          <w:rFonts w:ascii="Roboto" w:eastAsia="Calibri" w:hAnsi="Roboto" w:cs="Calibri"/>
          <w:b/>
          <w:bCs/>
          <w:color w:val="404040" w:themeColor="text1" w:themeTint="BF"/>
          <w:lang w:val="en-GB"/>
        </w:rPr>
      </w:pPr>
    </w:p>
    <w:p w14:paraId="1EF23F64" w14:textId="65BCF38B" w:rsidR="00871C7A" w:rsidRPr="003C206F" w:rsidRDefault="00871C7A" w:rsidP="00031B87">
      <w:pPr>
        <w:rPr>
          <w:rFonts w:ascii="Roboto" w:eastAsia="Calibri" w:hAnsi="Roboto" w:cs="Calibri"/>
          <w:b/>
          <w:bCs/>
          <w:color w:val="404040" w:themeColor="text1" w:themeTint="BF"/>
          <w:lang w:val="en-GB"/>
        </w:rPr>
      </w:pPr>
    </w:p>
    <w:p w14:paraId="7095A91C" w14:textId="7D127D43" w:rsidR="00871C7A" w:rsidRPr="003C206F" w:rsidRDefault="00871C7A" w:rsidP="00031B87">
      <w:pPr>
        <w:rPr>
          <w:rFonts w:ascii="Roboto" w:eastAsia="Calibri" w:hAnsi="Roboto" w:cs="Calibri"/>
          <w:b/>
          <w:bCs/>
          <w:color w:val="404040" w:themeColor="text1" w:themeTint="BF"/>
          <w:lang w:val="en-GB"/>
        </w:rPr>
      </w:pPr>
    </w:p>
    <w:p w14:paraId="77B9B372" w14:textId="00CC3223" w:rsidR="00871C7A" w:rsidRPr="003C206F" w:rsidRDefault="00871C7A" w:rsidP="00031B87">
      <w:pPr>
        <w:rPr>
          <w:rFonts w:ascii="Roboto" w:eastAsia="Calibri" w:hAnsi="Roboto" w:cs="Calibri"/>
          <w:b/>
          <w:bCs/>
          <w:color w:val="404040" w:themeColor="text1" w:themeTint="BF"/>
          <w:lang w:val="en-GB"/>
        </w:rPr>
      </w:pPr>
    </w:p>
    <w:p w14:paraId="1013EE88" w14:textId="02FBF1DE" w:rsidR="00871C7A" w:rsidRPr="003C206F" w:rsidRDefault="00871C7A" w:rsidP="00031B87">
      <w:pPr>
        <w:rPr>
          <w:rFonts w:ascii="Roboto" w:eastAsia="Calibri" w:hAnsi="Roboto" w:cs="Calibri"/>
          <w:b/>
          <w:bCs/>
          <w:color w:val="404040" w:themeColor="text1" w:themeTint="BF"/>
          <w:lang w:val="en-GB"/>
        </w:rPr>
      </w:pPr>
      <w:r w:rsidRPr="003C206F">
        <w:rPr>
          <w:rFonts w:ascii="Roboto" w:hAnsi="Roboto"/>
          <w:b/>
          <w:bCs/>
          <w:noProof/>
          <w:color w:val="404040" w:themeColor="text1" w:themeTint="BF"/>
          <w:lang w:val="en-GB"/>
        </w:rPr>
        <mc:AlternateContent>
          <mc:Choice Requires="wps">
            <w:drawing>
              <wp:anchor distT="0" distB="0" distL="114300" distR="114300" simplePos="0" relativeHeight="251670606" behindDoc="0" locked="0" layoutInCell="1" allowOverlap="1" wp14:anchorId="14DF7D16" wp14:editId="1B850834">
                <wp:simplePos x="0" y="0"/>
                <wp:positionH relativeFrom="page">
                  <wp:posOffset>1549400</wp:posOffset>
                </wp:positionH>
                <wp:positionV relativeFrom="paragraph">
                  <wp:posOffset>1597372</wp:posOffset>
                </wp:positionV>
                <wp:extent cx="2654300" cy="25273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2654300" cy="2527300"/>
                        </a:xfrm>
                        <a:prstGeom prst="rect">
                          <a:avLst/>
                        </a:prstGeom>
                        <a:noFill/>
                        <a:ln w="6350">
                          <a:noFill/>
                        </a:ln>
                      </wps:spPr>
                      <wps:txbx>
                        <w:txbxContent>
                          <w:p w14:paraId="79C5CCB0" w14:textId="28D580F7" w:rsidR="00C74675" w:rsidRPr="0000729D" w:rsidRDefault="00694115" w:rsidP="0000729D">
                            <w:pPr>
                              <w:pStyle w:val="Heading1"/>
                              <w:rPr>
                                <w:rFonts w:ascii="Roboto" w:hAnsi="Roboto"/>
                                <w:b/>
                                <w:bCs/>
                                <w:color w:val="FFFFFF" w:themeColor="background1"/>
                                <w:sz w:val="56"/>
                                <w:szCs w:val="56"/>
                              </w:rPr>
                            </w:pPr>
                            <w:bookmarkStart w:id="117" w:name="_Toc85548190"/>
                            <w:bookmarkStart w:id="118" w:name="_Toc85548610"/>
                            <w:bookmarkStart w:id="119" w:name="_Toc85624767"/>
                            <w:bookmarkStart w:id="120" w:name="_Toc85624843"/>
                            <w:bookmarkStart w:id="121" w:name="_Toc85625648"/>
                            <w:bookmarkStart w:id="122" w:name="_Toc86580439"/>
                            <w:bookmarkStart w:id="123" w:name="_Toc86691518"/>
                            <w:bookmarkStart w:id="124" w:name="_Toc86704811"/>
                            <w:bookmarkStart w:id="125" w:name="_Toc88667619"/>
                            <w:bookmarkStart w:id="126" w:name="_Toc92289496"/>
                            <w:bookmarkStart w:id="127" w:name="_Toc94103137"/>
                            <w:bookmarkStart w:id="128" w:name="_Toc94103252"/>
                            <w:bookmarkStart w:id="129" w:name="_Toc105333788"/>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4</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0A85A3AA" w14:textId="25289318" w:rsidR="00C74675" w:rsidRPr="008578E8" w:rsidRDefault="00694115" w:rsidP="006F4C28">
                            <w:pPr>
                              <w:pStyle w:val="KSASubHead2-Blue"/>
                            </w:pPr>
                            <w:r>
                              <w:t>MONITORING AND EVALUATION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F7D16" id="Text Box 25" o:spid="_x0000_s1030" type="#_x0000_t202" style="position:absolute;margin-left:122pt;margin-top:125.8pt;width:209pt;height:199pt;z-index:25167060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" filled="f" stroked="f" strokeweight=".5pt">
                <v:textbox>
                  <w:txbxContent>
                    <w:p w14:paraId="79C5CCB0" w14:textId="28D580F7" w:rsidR="00C74675" w:rsidRPr="0000729D" w:rsidRDefault="00694115" w:rsidP="0000729D">
                      <w:pPr>
                        <w:pStyle w:val="Heading1"/>
                        <w:rPr>
                          <w:rFonts w:ascii="Roboto" w:hAnsi="Roboto"/>
                          <w:b/>
                          <w:bCs/>
                          <w:color w:val="FFFFFF" w:themeColor="background1"/>
                          <w:sz w:val="56"/>
                          <w:szCs w:val="56"/>
                        </w:rPr>
                      </w:pPr>
                      <w:bookmarkStart w:id="130" w:name="_Toc85548190"/>
                      <w:bookmarkStart w:id="131" w:name="_Toc85548610"/>
                      <w:bookmarkStart w:id="132" w:name="_Toc85624767"/>
                      <w:bookmarkStart w:id="133" w:name="_Toc85624843"/>
                      <w:bookmarkStart w:id="134" w:name="_Toc85625648"/>
                      <w:bookmarkStart w:id="135" w:name="_Toc86580439"/>
                      <w:bookmarkStart w:id="136" w:name="_Toc86691518"/>
                      <w:bookmarkStart w:id="137" w:name="_Toc86704811"/>
                      <w:bookmarkStart w:id="138" w:name="_Toc88667619"/>
                      <w:bookmarkStart w:id="139" w:name="_Toc92289496"/>
                      <w:bookmarkStart w:id="140" w:name="_Toc94103137"/>
                      <w:bookmarkStart w:id="141" w:name="_Toc94103252"/>
                      <w:bookmarkStart w:id="142" w:name="_Toc105333788"/>
                      <w:r w:rsidRPr="0000729D">
                        <w:rPr>
                          <w:rFonts w:ascii="Roboto" w:hAnsi="Roboto"/>
                          <w:b/>
                          <w:bCs/>
                          <w:color w:val="FFFFFF" w:themeColor="background1"/>
                          <w:sz w:val="56"/>
                          <w:szCs w:val="56"/>
                        </w:rPr>
                        <w:t xml:space="preserve">CHAPTER </w:t>
                      </w:r>
                      <w:r>
                        <w:rPr>
                          <w:rFonts w:ascii="Roboto" w:hAnsi="Roboto"/>
                          <w:b/>
                          <w:bCs/>
                          <w:color w:val="FFFFFF" w:themeColor="background1"/>
                          <w:sz w:val="56"/>
                          <w:szCs w:val="56"/>
                        </w:rPr>
                        <w:t>4</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0A85A3AA" w14:textId="25289318" w:rsidR="00C74675" w:rsidRPr="008578E8" w:rsidRDefault="00694115" w:rsidP="006F4C28">
                      <w:pPr>
                        <w:pStyle w:val="KSASubHead2-Blue"/>
                      </w:pPr>
                      <w:r>
                        <w:t>MONITORING AND EVALUATION PLAN</w:t>
                      </w:r>
                    </w:p>
                  </w:txbxContent>
                </v:textbox>
                <w10:wrap anchorx="page"/>
              </v:shape>
            </w:pict>
          </mc:Fallback>
        </mc:AlternateContent>
      </w:r>
    </w:p>
    <w:p w14:paraId="45AC871D" w14:textId="5206A788" w:rsidR="00871C7A" w:rsidRPr="003C206F" w:rsidRDefault="00871C7A" w:rsidP="00031B87">
      <w:pPr>
        <w:rPr>
          <w:rFonts w:ascii="Roboto" w:eastAsia="Calibri" w:hAnsi="Roboto" w:cs="Calibri"/>
          <w:b/>
          <w:bCs/>
          <w:color w:val="404040" w:themeColor="text1" w:themeTint="BF"/>
          <w:lang w:val="en-GB"/>
        </w:rPr>
      </w:pPr>
    </w:p>
    <w:p w14:paraId="0FFBE990" w14:textId="2019AA40" w:rsidR="00871C7A" w:rsidRPr="003C206F" w:rsidRDefault="00871C7A" w:rsidP="006234F4">
      <w:pPr>
        <w:rPr>
          <w:rFonts w:ascii="Roboto" w:eastAsia="Calibri" w:hAnsi="Roboto" w:cs="Calibri"/>
          <w:b/>
          <w:bCs/>
          <w:color w:val="404040" w:themeColor="text1" w:themeTint="BF"/>
          <w:lang w:val="en-GB"/>
        </w:rPr>
      </w:pPr>
    </w:p>
    <w:p w14:paraId="4DBC73B2" w14:textId="6F21C508" w:rsidR="00871C7A" w:rsidRPr="003C206F" w:rsidRDefault="00871C7A">
      <w:pPr>
        <w:rPr>
          <w:rFonts w:ascii="Roboto" w:hAnsi="Roboto"/>
          <w:b/>
          <w:bCs/>
          <w:color w:val="404040" w:themeColor="text1" w:themeTint="BF"/>
          <w:lang w:val="en-GB"/>
        </w:rPr>
      </w:pPr>
    </w:p>
    <w:p w14:paraId="4455B64E" w14:textId="18965FCB" w:rsidR="00871C7A" w:rsidRPr="003C206F" w:rsidRDefault="00871C7A">
      <w:pPr>
        <w:rPr>
          <w:rFonts w:ascii="Roboto" w:hAnsi="Roboto"/>
          <w:b/>
          <w:bCs/>
          <w:color w:val="404040" w:themeColor="text1" w:themeTint="BF"/>
          <w:lang w:val="en-GB"/>
        </w:rPr>
      </w:pPr>
    </w:p>
    <w:p w14:paraId="5C68A469" w14:textId="51F92E09" w:rsidR="00871C7A" w:rsidRPr="003C206F" w:rsidRDefault="00871C7A">
      <w:pPr>
        <w:rPr>
          <w:rFonts w:ascii="Roboto" w:hAnsi="Roboto"/>
          <w:b/>
          <w:bCs/>
          <w:color w:val="404040" w:themeColor="text1" w:themeTint="BF"/>
          <w:lang w:val="en-GB"/>
        </w:rPr>
      </w:pPr>
    </w:p>
    <w:p w14:paraId="4D1AA116" w14:textId="1FF66AFD" w:rsidR="00871C7A" w:rsidRPr="003C206F" w:rsidRDefault="00871C7A">
      <w:pPr>
        <w:rPr>
          <w:rFonts w:ascii="Roboto" w:hAnsi="Roboto"/>
          <w:b/>
          <w:bCs/>
          <w:color w:val="404040" w:themeColor="text1" w:themeTint="BF"/>
          <w:lang w:val="en-GB"/>
        </w:rPr>
      </w:pPr>
      <w:r w:rsidRPr="003C206F">
        <w:rPr>
          <w:rFonts w:ascii="Roboto" w:hAnsi="Roboto"/>
          <w:b/>
          <w:bCs/>
          <w:color w:val="404040" w:themeColor="text1" w:themeTint="BF"/>
          <w:lang w:val="en-GB"/>
        </w:rPr>
        <w:br w:type="page"/>
      </w:r>
    </w:p>
    <w:p w14:paraId="1DE726DE" w14:textId="096F5EF1" w:rsidR="00871C7A" w:rsidRPr="003C206F" w:rsidRDefault="00871C7A" w:rsidP="007644A7">
      <w:pPr>
        <w:rPr>
          <w:rFonts w:ascii="Roboto" w:hAnsi="Roboto"/>
          <w:b/>
          <w:bCs/>
          <w:color w:val="404040" w:themeColor="text1" w:themeTint="BF"/>
          <w:lang w:val="en-GB"/>
        </w:rPr>
        <w:sectPr w:rsidR="00871C7A" w:rsidRPr="003C206F" w:rsidSect="00EB2ED3">
          <w:type w:val="continuous"/>
          <w:pgSz w:w="11900" w:h="16820"/>
          <w:pgMar w:top="1440" w:right="1440" w:bottom="1440" w:left="1440" w:header="720" w:footer="720" w:gutter="0"/>
          <w:cols w:num="2" w:space="720"/>
          <w:noEndnote/>
          <w:docGrid w:linePitch="360"/>
        </w:sectPr>
      </w:pPr>
      <w:bookmarkStart w:id="143" w:name="_Toc85442485"/>
    </w:p>
    <w:p w14:paraId="3527A6BE" w14:textId="05FD8814" w:rsidR="00352DB2" w:rsidRPr="003C206F" w:rsidRDefault="00352DB2" w:rsidP="00352DB2">
      <w:pPr>
        <w:pStyle w:val="Heading1"/>
        <w:spacing w:before="0"/>
        <w:rPr>
          <w:rFonts w:ascii="Roboto" w:hAnsi="Roboto" w:cs="Calibri"/>
          <w:b/>
          <w:bCs/>
          <w:color w:val="404040" w:themeColor="text1" w:themeTint="BF"/>
          <w:sz w:val="26"/>
          <w:szCs w:val="26"/>
          <w:lang w:val="en-GB"/>
        </w:rPr>
      </w:pPr>
      <w:bookmarkStart w:id="144" w:name="_Toc92277975"/>
      <w:bookmarkStart w:id="145" w:name="_Toc105333789"/>
      <w:bookmarkEnd w:id="143"/>
      <w:r w:rsidRPr="005A5556">
        <w:rPr>
          <w:rFonts w:ascii="Roboto" w:hAnsi="Roboto" w:cs="Calibri"/>
          <w:b/>
          <w:bCs/>
          <w:color w:val="4472C4" w:themeColor="accent1"/>
          <w:sz w:val="26"/>
          <w:szCs w:val="26"/>
          <w:lang w:val="en-GB"/>
        </w:rPr>
        <w:lastRenderedPageBreak/>
        <w:t>CHAPTER 4: MONITORING AND EVALUATION PLAN</w:t>
      </w:r>
      <w:bookmarkStart w:id="146" w:name="_Toc85442486"/>
      <w:bookmarkEnd w:id="144"/>
      <w:bookmarkEnd w:id="145"/>
      <w:r w:rsidRPr="003C206F">
        <w:rPr>
          <w:rFonts w:ascii="Roboto" w:hAnsi="Roboto" w:cs="Calibri"/>
          <w:b/>
          <w:bCs/>
          <w:color w:val="404040" w:themeColor="text1" w:themeTint="BF"/>
          <w:sz w:val="26"/>
          <w:szCs w:val="26"/>
          <w:lang w:val="en-GB"/>
        </w:rPr>
        <w:t> </w:t>
      </w:r>
    </w:p>
    <w:p w14:paraId="4D34982C" w14:textId="77777777" w:rsidR="00352DB2" w:rsidRPr="003C206F" w:rsidRDefault="00352DB2" w:rsidP="00352DB2">
      <w:pPr>
        <w:rPr>
          <w:rFonts w:ascii="Roboto" w:hAnsi="Roboto" w:cs="Calibri"/>
          <w:b/>
          <w:color w:val="404040" w:themeColor="text1" w:themeTint="BF"/>
          <w:lang w:val="en-GB"/>
        </w:rPr>
      </w:pPr>
    </w:p>
    <w:p w14:paraId="75BE9EF5" w14:textId="763EBEE1" w:rsidR="00352DB2" w:rsidRPr="003C206F" w:rsidRDefault="00352DB2" w:rsidP="00352DB2">
      <w:pPr>
        <w:pStyle w:val="Heading2"/>
        <w:spacing w:before="0"/>
        <w:rPr>
          <w:rFonts w:ascii="Roboto" w:hAnsi="Roboto"/>
          <w:b/>
          <w:bCs/>
          <w:color w:val="404040" w:themeColor="text1" w:themeTint="BF"/>
          <w:lang w:val="en-GB"/>
        </w:rPr>
      </w:pPr>
      <w:bookmarkStart w:id="147" w:name="_Toc92277976"/>
      <w:bookmarkStart w:id="148" w:name="_Toc105333790"/>
      <w:bookmarkEnd w:id="146"/>
      <w:r w:rsidRPr="003C206F">
        <w:rPr>
          <w:rFonts w:ascii="Roboto" w:hAnsi="Roboto" w:cs="Calibri"/>
          <w:b/>
          <w:bCs/>
          <w:color w:val="404040" w:themeColor="text1" w:themeTint="BF"/>
          <w:sz w:val="24"/>
          <w:szCs w:val="24"/>
          <w:lang w:val="en-GB"/>
        </w:rPr>
        <w:t>4.</w:t>
      </w:r>
      <w:r>
        <w:rPr>
          <w:rFonts w:ascii="Roboto" w:hAnsi="Roboto" w:cs="Calibri"/>
          <w:b/>
          <w:bCs/>
          <w:color w:val="404040" w:themeColor="text1" w:themeTint="BF"/>
          <w:sz w:val="24"/>
          <w:szCs w:val="24"/>
          <w:lang w:val="en-GB"/>
        </w:rPr>
        <w:t>1</w:t>
      </w:r>
      <w:r w:rsidRPr="003C206F">
        <w:rPr>
          <w:rFonts w:ascii="Roboto" w:hAnsi="Roboto" w:cs="Calibri"/>
          <w:b/>
          <w:bCs/>
          <w:color w:val="404040" w:themeColor="text1" w:themeTint="BF"/>
          <w:sz w:val="24"/>
          <w:szCs w:val="24"/>
          <w:lang w:val="en-GB"/>
        </w:rPr>
        <w:t xml:space="preserve">. Monitoring Implementation of </w:t>
      </w:r>
      <w:r w:rsidR="00892373">
        <w:rPr>
          <w:rFonts w:ascii="Roboto" w:hAnsi="Roboto" w:cs="Calibri"/>
          <w:b/>
          <w:bCs/>
          <w:color w:val="404040" w:themeColor="text1" w:themeTint="BF"/>
          <w:sz w:val="24"/>
          <w:szCs w:val="24"/>
          <w:lang w:val="en-GB"/>
        </w:rPr>
        <w:t xml:space="preserve">UN </w:t>
      </w:r>
      <w:r w:rsidRPr="003C206F">
        <w:rPr>
          <w:rFonts w:ascii="Roboto" w:hAnsi="Roboto" w:cs="Calibri"/>
          <w:b/>
          <w:bCs/>
          <w:color w:val="404040" w:themeColor="text1" w:themeTint="BF"/>
          <w:sz w:val="24"/>
          <w:szCs w:val="24"/>
          <w:lang w:val="en-GB"/>
        </w:rPr>
        <w:t>Joint Workplans</w:t>
      </w:r>
      <w:bookmarkEnd w:id="147"/>
      <w:bookmarkEnd w:id="148"/>
    </w:p>
    <w:p w14:paraId="63545EB4" w14:textId="77777777" w:rsidR="0004584D" w:rsidRDefault="0004584D" w:rsidP="007F059C">
      <w:pPr>
        <w:pStyle w:val="NormalWeb"/>
        <w:spacing w:before="0" w:beforeAutospacing="0" w:after="0" w:afterAutospacing="0"/>
        <w:jc w:val="both"/>
        <w:rPr>
          <w:rFonts w:ascii="Roboto" w:hAnsi="Roboto" w:cs="Calibri"/>
          <w:color w:val="404040" w:themeColor="text1" w:themeTint="BF"/>
          <w:sz w:val="21"/>
          <w:szCs w:val="21"/>
          <w:lang w:val="en-GB"/>
        </w:rPr>
      </w:pPr>
    </w:p>
    <w:p w14:paraId="6973B078" w14:textId="0B44A401" w:rsidR="00352DB2" w:rsidRPr="003C206F" w:rsidRDefault="00352DB2" w:rsidP="007F059C">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The performance of the UNSDCF is tracked at the UN-activity level in the UNSDCF database (Excel document) through three kinds of indicators: one set of process indicators and two sets of impact indicators:</w:t>
      </w:r>
    </w:p>
    <w:p w14:paraId="1645D732" w14:textId="77777777" w:rsidR="00352DB2" w:rsidRPr="003C206F" w:rsidRDefault="00352DB2" w:rsidP="007F059C">
      <w:pPr>
        <w:pStyle w:val="NormalWeb"/>
        <w:numPr>
          <w:ilvl w:val="0"/>
          <w:numId w:val="17"/>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Activity-specific process indicators</w:t>
      </w:r>
    </w:p>
    <w:p w14:paraId="105D4659" w14:textId="77777777" w:rsidR="00352DB2" w:rsidRPr="003C206F" w:rsidRDefault="00352DB2" w:rsidP="007F059C">
      <w:pPr>
        <w:pStyle w:val="NormalWeb"/>
        <w:numPr>
          <w:ilvl w:val="0"/>
          <w:numId w:val="17"/>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SDG indicators</w:t>
      </w:r>
    </w:p>
    <w:p w14:paraId="65608C1D" w14:textId="77777777" w:rsidR="00352DB2" w:rsidRPr="003C206F" w:rsidRDefault="00352DB2" w:rsidP="007F059C">
      <w:pPr>
        <w:pStyle w:val="NormalWeb"/>
        <w:numPr>
          <w:ilvl w:val="0"/>
          <w:numId w:val="17"/>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SDR indicators</w:t>
      </w:r>
    </w:p>
    <w:p w14:paraId="43EC0ED3" w14:textId="77777777" w:rsidR="00352DB2" w:rsidRPr="003C206F" w:rsidRDefault="00352DB2" w:rsidP="00352DB2">
      <w:pPr>
        <w:rPr>
          <w:rFonts w:ascii="Roboto" w:hAnsi="Roboto"/>
          <w:color w:val="404040" w:themeColor="text1" w:themeTint="BF"/>
          <w:sz w:val="21"/>
          <w:szCs w:val="21"/>
          <w:lang w:val="en-GB"/>
        </w:rPr>
      </w:pPr>
    </w:p>
    <w:p w14:paraId="520189C5" w14:textId="0959014D" w:rsidR="00352DB2" w:rsidRPr="003C206F" w:rsidRDefault="004A7CB7" w:rsidP="00352DB2">
      <w:pPr>
        <w:pStyle w:val="NormalWeb"/>
        <w:spacing w:before="0" w:beforeAutospacing="0" w:after="0" w:afterAutospacing="0"/>
        <w:jc w:val="both"/>
        <w:rPr>
          <w:rFonts w:ascii="Roboto" w:hAnsi="Roboto"/>
          <w:color w:val="404040" w:themeColor="text1" w:themeTint="BF"/>
          <w:sz w:val="21"/>
          <w:szCs w:val="21"/>
          <w:lang w:val="en-GB"/>
        </w:rPr>
      </w:pPr>
      <w:r>
        <w:rPr>
          <w:rFonts w:ascii="Roboto" w:hAnsi="Roboto" w:cs="Arial"/>
          <w:color w:val="404040" w:themeColor="text1" w:themeTint="BF"/>
          <w:sz w:val="21"/>
          <w:szCs w:val="21"/>
          <w:lang w:val="en-GB"/>
        </w:rPr>
        <w:t xml:space="preserve">In terms of monitoring and evaluation, the </w:t>
      </w:r>
      <w:r w:rsidR="00352DB2" w:rsidRPr="003C206F">
        <w:rPr>
          <w:rFonts w:ascii="Roboto" w:hAnsi="Roboto" w:cs="Calibri"/>
          <w:color w:val="404040" w:themeColor="text1" w:themeTint="BF"/>
          <w:sz w:val="21"/>
          <w:szCs w:val="21"/>
          <w:lang w:val="en-GB"/>
        </w:rPr>
        <w:t xml:space="preserve">UNCT’s </w:t>
      </w:r>
      <w:r>
        <w:rPr>
          <w:rFonts w:ascii="Roboto" w:hAnsi="Roboto" w:cs="Calibri"/>
          <w:color w:val="404040" w:themeColor="text1" w:themeTint="BF"/>
          <w:sz w:val="21"/>
          <w:szCs w:val="21"/>
          <w:lang w:val="en-GB"/>
        </w:rPr>
        <w:t xml:space="preserve">primary focus will be to promote and improve both the availability of SDG indicators and disaggregated data at the regional and individual levels.  Moreover, it will </w:t>
      </w:r>
      <w:r w:rsidR="00352DB2" w:rsidRPr="003C206F">
        <w:rPr>
          <w:rFonts w:ascii="Roboto" w:hAnsi="Roboto" w:cs="Calibri"/>
          <w:color w:val="404040" w:themeColor="text1" w:themeTint="BF"/>
          <w:sz w:val="21"/>
          <w:szCs w:val="21"/>
          <w:lang w:val="en-GB"/>
        </w:rPr>
        <w:t xml:space="preserve">address data gaps </w:t>
      </w:r>
      <w:proofErr w:type="gramStart"/>
      <w:r>
        <w:rPr>
          <w:rFonts w:ascii="Roboto" w:hAnsi="Roboto" w:cs="Calibri"/>
          <w:color w:val="404040" w:themeColor="text1" w:themeTint="BF"/>
          <w:sz w:val="21"/>
          <w:szCs w:val="21"/>
          <w:lang w:val="en-GB"/>
        </w:rPr>
        <w:t>through</w:t>
      </w:r>
      <w:r w:rsidR="00352DB2" w:rsidRPr="003C206F">
        <w:rPr>
          <w:rFonts w:ascii="Roboto" w:hAnsi="Roboto" w:cs="Calibri"/>
          <w:color w:val="404040" w:themeColor="text1" w:themeTint="BF"/>
          <w:sz w:val="21"/>
          <w:szCs w:val="21"/>
          <w:lang w:val="en-GB"/>
        </w:rPr>
        <w:t xml:space="preserve"> the use of</w:t>
      </w:r>
      <w:proofErr w:type="gramEnd"/>
      <w:r w:rsidR="00352DB2" w:rsidRPr="003C206F">
        <w:rPr>
          <w:rFonts w:ascii="Roboto" w:hAnsi="Roboto" w:cs="Calibri"/>
          <w:color w:val="404040" w:themeColor="text1" w:themeTint="BF"/>
          <w:sz w:val="21"/>
          <w:szCs w:val="21"/>
          <w:lang w:val="en-GB"/>
        </w:rPr>
        <w:t xml:space="preserve"> non-traditional data sources to complement national statistics (such as satellite imagery mapping with GIS)</w:t>
      </w:r>
      <w:r w:rsidR="0000554B">
        <w:rPr>
          <w:rFonts w:ascii="Roboto" w:hAnsi="Roboto" w:cs="Calibri"/>
          <w:color w:val="404040" w:themeColor="text1" w:themeTint="BF"/>
          <w:sz w:val="21"/>
          <w:szCs w:val="21"/>
          <w:lang w:val="en-GB"/>
        </w:rPr>
        <w:t>.</w:t>
      </w:r>
      <w:r w:rsidR="00352DB2" w:rsidRPr="003C206F">
        <w:rPr>
          <w:rFonts w:ascii="Roboto" w:hAnsi="Roboto" w:cs="Calibri"/>
          <w:color w:val="404040" w:themeColor="text1" w:themeTint="BF"/>
          <w:sz w:val="21"/>
          <w:szCs w:val="21"/>
          <w:lang w:val="en-GB"/>
        </w:rPr>
        <w:t xml:space="preserve"> The concept of data sharing and data as a public good will be promoted throughout</w:t>
      </w:r>
      <w:r w:rsidR="004B5DE5">
        <w:rPr>
          <w:rFonts w:ascii="Roboto" w:hAnsi="Roboto" w:cs="Calibri"/>
          <w:color w:val="404040" w:themeColor="text1" w:themeTint="BF"/>
          <w:sz w:val="21"/>
          <w:szCs w:val="21"/>
          <w:lang w:val="en-GB"/>
        </w:rPr>
        <w:t xml:space="preserve"> the UN’s approach when it comes to monitoring and evaluation</w:t>
      </w:r>
      <w:r w:rsidR="00352DB2" w:rsidRPr="003C206F">
        <w:rPr>
          <w:rFonts w:ascii="Roboto" w:hAnsi="Roboto" w:cs="Calibri"/>
          <w:color w:val="404040" w:themeColor="text1" w:themeTint="BF"/>
          <w:sz w:val="21"/>
          <w:szCs w:val="21"/>
          <w:lang w:val="en-GB"/>
        </w:rPr>
        <w:t>. An inter-agency task force will develop a map of the KSA’s available SDG</w:t>
      </w:r>
      <w:r w:rsidR="00352DB2">
        <w:rPr>
          <w:rFonts w:ascii="Roboto" w:hAnsi="Roboto" w:cs="Calibri"/>
          <w:color w:val="404040" w:themeColor="text1" w:themeTint="BF"/>
          <w:sz w:val="21"/>
          <w:szCs w:val="21"/>
          <w:lang w:val="en-GB"/>
        </w:rPr>
        <w:t>/</w:t>
      </w:r>
      <w:r w:rsidR="00352DB2" w:rsidRPr="003C206F">
        <w:rPr>
          <w:rFonts w:ascii="Roboto" w:hAnsi="Roboto" w:cs="Calibri"/>
          <w:color w:val="404040" w:themeColor="text1" w:themeTint="BF"/>
          <w:sz w:val="21"/>
          <w:szCs w:val="21"/>
          <w:lang w:val="en-GB"/>
        </w:rPr>
        <w:t>SDR indicators</w:t>
      </w:r>
      <w:r w:rsidR="009B6A39">
        <w:rPr>
          <w:rFonts w:ascii="Roboto" w:hAnsi="Roboto" w:cs="Calibri"/>
          <w:color w:val="404040" w:themeColor="text1" w:themeTint="BF"/>
          <w:sz w:val="21"/>
          <w:szCs w:val="21"/>
          <w:lang w:val="en-GB"/>
        </w:rPr>
        <w:t xml:space="preserve"> so that challenges of data availability can be better understood and communicated to Government Ministries and agencies. </w:t>
      </w:r>
      <w:r w:rsidR="00352DB2" w:rsidRPr="003C206F">
        <w:rPr>
          <w:rFonts w:ascii="Roboto" w:hAnsi="Roboto" w:cs="Calibri"/>
          <w:color w:val="404040" w:themeColor="text1" w:themeTint="BF"/>
          <w:sz w:val="21"/>
          <w:szCs w:val="21"/>
          <w:lang w:val="en-GB"/>
        </w:rPr>
        <w:t xml:space="preserve"> The map of the KSA’s SDG/SDR indicator framework will allow us to:</w:t>
      </w:r>
    </w:p>
    <w:p w14:paraId="200F3198" w14:textId="5AAF7BE2" w:rsidR="00352DB2" w:rsidRPr="003C206F" w:rsidRDefault="00352DB2" w:rsidP="000601C0">
      <w:pPr>
        <w:pStyle w:val="NormalWeb"/>
        <w:numPr>
          <w:ilvl w:val="0"/>
          <w:numId w:val="18"/>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Determine which indicators are the weakest in the absolute sense in terms of overall data and disaggregation and should therefore be concentrated on</w:t>
      </w:r>
      <w:r w:rsidR="009B6A39">
        <w:rPr>
          <w:rFonts w:ascii="Roboto" w:hAnsi="Roboto" w:cs="Calibri"/>
          <w:color w:val="404040" w:themeColor="text1" w:themeTint="BF"/>
          <w:sz w:val="21"/>
          <w:szCs w:val="21"/>
          <w:lang w:val="en-GB"/>
        </w:rPr>
        <w:t>; this will allow the UN</w:t>
      </w:r>
      <w:r w:rsidRPr="003C206F">
        <w:rPr>
          <w:rFonts w:ascii="Roboto" w:hAnsi="Roboto" w:cs="Calibri"/>
          <w:color w:val="404040" w:themeColor="text1" w:themeTint="BF"/>
          <w:sz w:val="21"/>
          <w:szCs w:val="21"/>
          <w:lang w:val="en-GB"/>
        </w:rPr>
        <w:t xml:space="preserve"> to connect the Government of the KSA with specialized UN-agency focal points (custodians of indicators)</w:t>
      </w:r>
      <w:r w:rsidR="00664C5B">
        <w:rPr>
          <w:rFonts w:ascii="Roboto" w:hAnsi="Roboto" w:cs="Calibri"/>
          <w:color w:val="404040" w:themeColor="text1" w:themeTint="BF"/>
          <w:sz w:val="21"/>
          <w:szCs w:val="21"/>
          <w:lang w:val="en-GB"/>
        </w:rPr>
        <w:t xml:space="preserve"> to address these data </w:t>
      </w:r>
      <w:proofErr w:type="gramStart"/>
      <w:r w:rsidR="00664C5B">
        <w:rPr>
          <w:rFonts w:ascii="Roboto" w:hAnsi="Roboto" w:cs="Calibri"/>
          <w:color w:val="404040" w:themeColor="text1" w:themeTint="BF"/>
          <w:sz w:val="21"/>
          <w:szCs w:val="21"/>
          <w:lang w:val="en-GB"/>
        </w:rPr>
        <w:t>challenges</w:t>
      </w:r>
      <w:r w:rsidRPr="003C206F">
        <w:rPr>
          <w:rFonts w:ascii="Roboto" w:hAnsi="Roboto" w:cs="Calibri"/>
          <w:color w:val="404040" w:themeColor="text1" w:themeTint="BF"/>
          <w:sz w:val="21"/>
          <w:szCs w:val="21"/>
          <w:lang w:val="en-GB"/>
        </w:rPr>
        <w:t>;</w:t>
      </w:r>
      <w:proofErr w:type="gramEnd"/>
    </w:p>
    <w:p w14:paraId="01EE64B2" w14:textId="06C9B7B3" w:rsidR="00352DB2" w:rsidRPr="003C206F" w:rsidRDefault="00352DB2" w:rsidP="000601C0">
      <w:pPr>
        <w:pStyle w:val="NormalWeb"/>
        <w:numPr>
          <w:ilvl w:val="0"/>
          <w:numId w:val="18"/>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Determine which indicators are the weakest in the relative sense </w:t>
      </w:r>
      <w:r w:rsidR="004A4074">
        <w:rPr>
          <w:rFonts w:ascii="Roboto" w:hAnsi="Roboto" w:cs="Calibri"/>
          <w:color w:val="404040" w:themeColor="text1" w:themeTint="BF"/>
          <w:sz w:val="21"/>
          <w:szCs w:val="21"/>
          <w:lang w:val="en-GB"/>
        </w:rPr>
        <w:t>in terms of country comparability – it is important to determine what data is not available</w:t>
      </w:r>
      <w:r w:rsidRPr="003C206F">
        <w:rPr>
          <w:rFonts w:ascii="Roboto" w:hAnsi="Roboto" w:cs="Calibri"/>
          <w:color w:val="404040" w:themeColor="text1" w:themeTint="BF"/>
          <w:sz w:val="21"/>
          <w:szCs w:val="21"/>
          <w:lang w:val="en-GB"/>
        </w:rPr>
        <w:t xml:space="preserve"> for the KSA but </w:t>
      </w:r>
      <w:r w:rsidR="004A4074">
        <w:rPr>
          <w:rFonts w:ascii="Roboto" w:hAnsi="Roboto" w:cs="Calibri"/>
          <w:color w:val="404040" w:themeColor="text1" w:themeTint="BF"/>
          <w:sz w:val="21"/>
          <w:szCs w:val="21"/>
          <w:lang w:val="en-GB"/>
        </w:rPr>
        <w:t>is</w:t>
      </w:r>
      <w:r w:rsidR="004A4074" w:rsidRPr="003C206F">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available for other countries (mostly Tier I, sometimes Tier II</w:t>
      </w:r>
      <w:r w:rsidRPr="003C206F">
        <w:rPr>
          <w:rStyle w:val="EndnoteReference"/>
          <w:rFonts w:ascii="Roboto" w:hAnsi="Roboto" w:cs="Calibri"/>
          <w:color w:val="404040" w:themeColor="text1" w:themeTint="BF"/>
          <w:sz w:val="21"/>
          <w:szCs w:val="21"/>
          <w:lang w:val="en-GB"/>
        </w:rPr>
        <w:endnoteReference w:id="23"/>
      </w:r>
      <w:r w:rsidRPr="003C206F">
        <w:rPr>
          <w:rFonts w:ascii="Roboto" w:hAnsi="Roboto" w:cs="Calibri"/>
          <w:color w:val="404040" w:themeColor="text1" w:themeTint="BF"/>
          <w:sz w:val="21"/>
          <w:szCs w:val="21"/>
          <w:lang w:val="en-GB"/>
        </w:rPr>
        <w:t>)</w:t>
      </w:r>
      <w:r w:rsidR="004A4074">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w:t>
      </w:r>
      <w:r w:rsidR="004A4074">
        <w:rPr>
          <w:rFonts w:ascii="Roboto" w:hAnsi="Roboto" w:cs="Calibri"/>
          <w:color w:val="404040" w:themeColor="text1" w:themeTint="BF"/>
          <w:sz w:val="21"/>
          <w:szCs w:val="21"/>
          <w:lang w:val="en-GB"/>
        </w:rPr>
        <w:t>this identification would suggest that the</w:t>
      </w:r>
      <w:r w:rsidRPr="003C206F">
        <w:rPr>
          <w:rFonts w:ascii="Roboto" w:hAnsi="Roboto" w:cs="Calibri"/>
          <w:color w:val="404040" w:themeColor="text1" w:themeTint="BF"/>
          <w:sz w:val="21"/>
          <w:szCs w:val="21"/>
          <w:lang w:val="en-GB"/>
        </w:rPr>
        <w:t xml:space="preserve"> KSA is lagging behind the world</w:t>
      </w:r>
      <w:r w:rsidR="004A4074" w:rsidRPr="004A4074">
        <w:rPr>
          <w:rFonts w:ascii="Roboto" w:hAnsi="Roboto" w:cs="Calibri"/>
          <w:color w:val="404040" w:themeColor="text1" w:themeTint="BF"/>
          <w:sz w:val="21"/>
          <w:szCs w:val="21"/>
          <w:lang w:val="en-GB"/>
        </w:rPr>
        <w:t xml:space="preserve"> </w:t>
      </w:r>
      <w:r w:rsidR="004A4074">
        <w:rPr>
          <w:rFonts w:ascii="Roboto" w:hAnsi="Roboto" w:cs="Calibri"/>
          <w:color w:val="404040" w:themeColor="text1" w:themeTint="BF"/>
          <w:sz w:val="21"/>
          <w:szCs w:val="21"/>
          <w:lang w:val="en-GB"/>
        </w:rPr>
        <w:t>when it comes to these data points and would allow the UN to connect</w:t>
      </w:r>
      <w:r w:rsidRPr="003C206F">
        <w:rPr>
          <w:rFonts w:ascii="Roboto" w:hAnsi="Roboto" w:cs="Calibri"/>
          <w:color w:val="404040" w:themeColor="text1" w:themeTint="BF"/>
          <w:sz w:val="21"/>
          <w:szCs w:val="21"/>
          <w:lang w:val="en-GB"/>
        </w:rPr>
        <w:t xml:space="preserve"> the Government of the KSA with specialized UN-agency focal points</w:t>
      </w:r>
      <w:r w:rsidR="004A4074" w:rsidRPr="004A4074">
        <w:rPr>
          <w:rFonts w:ascii="Roboto" w:hAnsi="Roboto" w:cs="Calibri"/>
          <w:color w:val="404040" w:themeColor="text1" w:themeTint="BF"/>
          <w:sz w:val="21"/>
          <w:szCs w:val="21"/>
          <w:lang w:val="en-GB"/>
        </w:rPr>
        <w:t xml:space="preserve"> </w:t>
      </w:r>
      <w:r w:rsidR="004A4074">
        <w:rPr>
          <w:rFonts w:ascii="Roboto" w:hAnsi="Roboto" w:cs="Calibri"/>
          <w:color w:val="404040" w:themeColor="text1" w:themeTint="BF"/>
          <w:sz w:val="21"/>
          <w:szCs w:val="21"/>
          <w:lang w:val="en-GB"/>
        </w:rPr>
        <w:t>to address these data challenges</w:t>
      </w:r>
      <w:r w:rsidRPr="003C206F">
        <w:rPr>
          <w:rFonts w:ascii="Roboto" w:hAnsi="Roboto" w:cs="Calibri"/>
          <w:color w:val="404040" w:themeColor="text1" w:themeTint="BF"/>
          <w:sz w:val="21"/>
          <w:szCs w:val="21"/>
          <w:lang w:val="en-GB"/>
        </w:rPr>
        <w:t>;</w:t>
      </w:r>
    </w:p>
    <w:p w14:paraId="3199B74A" w14:textId="77777777" w:rsidR="00352DB2" w:rsidRPr="003C206F" w:rsidRDefault="00352DB2" w:rsidP="000601C0">
      <w:pPr>
        <w:pStyle w:val="NormalWeb"/>
        <w:numPr>
          <w:ilvl w:val="0"/>
          <w:numId w:val="18"/>
        </w:numPr>
        <w:spacing w:before="0" w:beforeAutospacing="0" w:after="0" w:afterAutospacing="0"/>
        <w:jc w:val="both"/>
        <w:textAlignment w:val="baseline"/>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Map the SDR/SDG indicators to show which are missing for </w:t>
      </w:r>
      <w:r>
        <w:rPr>
          <w:rFonts w:ascii="Roboto" w:hAnsi="Roboto" w:cs="Calibri"/>
          <w:color w:val="404040" w:themeColor="text1" w:themeTint="BF"/>
          <w:sz w:val="21"/>
          <w:szCs w:val="21"/>
          <w:lang w:val="en-GB"/>
        </w:rPr>
        <w:t xml:space="preserve">the </w:t>
      </w:r>
      <w:r w:rsidRPr="003C206F">
        <w:rPr>
          <w:rFonts w:ascii="Roboto" w:hAnsi="Roboto" w:cs="Calibri"/>
          <w:color w:val="404040" w:themeColor="text1" w:themeTint="BF"/>
          <w:sz w:val="21"/>
          <w:szCs w:val="21"/>
          <w:lang w:val="en-GB"/>
        </w:rPr>
        <w:t>KSA in the SDR, then connect the Government of the KSA with both the specialized UN-agency focal points and any other entities that generate those data streams.</w:t>
      </w:r>
    </w:p>
    <w:p w14:paraId="71195551" w14:textId="77777777" w:rsidR="00352DB2" w:rsidRPr="003C206F" w:rsidRDefault="00352DB2" w:rsidP="00352DB2">
      <w:pPr>
        <w:rPr>
          <w:rFonts w:ascii="Roboto" w:hAnsi="Roboto"/>
          <w:color w:val="404040" w:themeColor="text1" w:themeTint="BF"/>
          <w:sz w:val="21"/>
          <w:szCs w:val="21"/>
          <w:lang w:val="en-GB"/>
        </w:rPr>
      </w:pPr>
    </w:p>
    <w:p w14:paraId="41A4EDD6" w14:textId="633C41D9" w:rsidR="00352DB2" w:rsidRPr="003C206F" w:rsidRDefault="00352DB2" w:rsidP="00352DB2">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In addition, the Monitoring</w:t>
      </w:r>
      <w:r>
        <w:rPr>
          <w:rFonts w:ascii="Roboto" w:hAnsi="Roboto" w:cs="Calibri"/>
          <w:color w:val="404040" w:themeColor="text1" w:themeTint="BF"/>
          <w:sz w:val="21"/>
          <w:szCs w:val="21"/>
          <w:lang w:val="en-GB"/>
        </w:rPr>
        <w:t xml:space="preserve"> and </w:t>
      </w:r>
      <w:r w:rsidRPr="003C206F">
        <w:rPr>
          <w:rFonts w:ascii="Roboto" w:hAnsi="Roboto" w:cs="Calibri"/>
          <w:color w:val="404040" w:themeColor="text1" w:themeTint="BF"/>
          <w:sz w:val="21"/>
          <w:szCs w:val="21"/>
          <w:lang w:val="en-GB"/>
        </w:rPr>
        <w:t>Evaluation</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 xml:space="preserve">plan will be linked to national monitoring mechanisms and strengthen national statistics capacities through the inclusion of the KSA’s Vision 2030 performance-specific measures (when different from the SDG/SDR indicators). The yearly revision of the UNSDCF will also present an annual opportunity to evaluate the impact of risk factors for the past year, identify new opportunities and strategic focuses, and outline and capture good practices to share with the UN system at large </w:t>
      </w:r>
      <w:proofErr w:type="gramStart"/>
      <w:r w:rsidRPr="003C206F">
        <w:rPr>
          <w:rFonts w:ascii="Roboto" w:hAnsi="Roboto" w:cs="Calibri"/>
          <w:color w:val="404040" w:themeColor="text1" w:themeTint="BF"/>
          <w:sz w:val="21"/>
          <w:szCs w:val="21"/>
          <w:lang w:val="en-GB"/>
        </w:rPr>
        <w:t>so as to</w:t>
      </w:r>
      <w:proofErr w:type="gramEnd"/>
      <w:r w:rsidRPr="003C206F">
        <w:rPr>
          <w:rFonts w:ascii="Roboto" w:hAnsi="Roboto" w:cs="Calibri"/>
          <w:color w:val="404040" w:themeColor="text1" w:themeTint="BF"/>
          <w:sz w:val="21"/>
          <w:szCs w:val="21"/>
          <w:lang w:val="en-GB"/>
        </w:rPr>
        <w:t xml:space="preserve"> build on them in succeeding years.</w:t>
      </w:r>
    </w:p>
    <w:p w14:paraId="6F45064D" w14:textId="77777777" w:rsidR="00352DB2" w:rsidRDefault="00352DB2" w:rsidP="00352DB2">
      <w:pPr>
        <w:rPr>
          <w:rFonts w:ascii="Roboto" w:hAnsi="Roboto"/>
          <w:b/>
          <w:bCs/>
          <w:color w:val="404040" w:themeColor="text1" w:themeTint="BF"/>
          <w:lang w:val="en-GB"/>
        </w:rPr>
      </w:pPr>
    </w:p>
    <w:p w14:paraId="460FB6D4" w14:textId="77777777" w:rsidR="00352DB2" w:rsidRPr="003C206F" w:rsidRDefault="00352DB2" w:rsidP="00352DB2">
      <w:pPr>
        <w:rPr>
          <w:rFonts w:ascii="Roboto" w:hAnsi="Roboto"/>
          <w:b/>
          <w:bCs/>
          <w:color w:val="404040" w:themeColor="text1" w:themeTint="BF"/>
          <w:lang w:val="en-GB"/>
        </w:rPr>
      </w:pPr>
    </w:p>
    <w:p w14:paraId="63E5AA6C" w14:textId="6E80C96C" w:rsidR="00352DB2" w:rsidRPr="003C206F" w:rsidRDefault="00352DB2" w:rsidP="00352DB2">
      <w:pPr>
        <w:pStyle w:val="Heading2"/>
        <w:spacing w:before="0"/>
        <w:rPr>
          <w:rFonts w:ascii="Roboto" w:hAnsi="Roboto"/>
          <w:b/>
          <w:bCs/>
          <w:color w:val="404040" w:themeColor="text1" w:themeTint="BF"/>
          <w:lang w:val="en-GB"/>
        </w:rPr>
      </w:pPr>
      <w:bookmarkStart w:id="149" w:name="_Toc92277977"/>
      <w:bookmarkStart w:id="150" w:name="_Toc105333791"/>
      <w:r w:rsidRPr="003C206F">
        <w:rPr>
          <w:rFonts w:ascii="Roboto" w:hAnsi="Roboto" w:cs="Calibri"/>
          <w:b/>
          <w:bCs/>
          <w:color w:val="404040" w:themeColor="text1" w:themeTint="BF"/>
          <w:sz w:val="24"/>
          <w:szCs w:val="24"/>
          <w:lang w:val="en-GB"/>
        </w:rPr>
        <w:t>4.</w:t>
      </w:r>
      <w:r>
        <w:rPr>
          <w:rFonts w:ascii="Roboto" w:hAnsi="Roboto" w:cs="Calibri"/>
          <w:b/>
          <w:bCs/>
          <w:color w:val="404040" w:themeColor="text1" w:themeTint="BF"/>
          <w:sz w:val="24"/>
          <w:szCs w:val="24"/>
          <w:lang w:val="en-GB"/>
        </w:rPr>
        <w:t>2</w:t>
      </w:r>
      <w:r w:rsidRPr="003C206F">
        <w:rPr>
          <w:rFonts w:ascii="Roboto" w:hAnsi="Roboto" w:cs="Calibri"/>
          <w:b/>
          <w:bCs/>
          <w:color w:val="404040" w:themeColor="text1" w:themeTint="BF"/>
          <w:sz w:val="24"/>
          <w:szCs w:val="24"/>
          <w:lang w:val="en-GB"/>
        </w:rPr>
        <w:t>. Annual Performance Review and Country Results Reporting</w:t>
      </w:r>
      <w:bookmarkEnd w:id="149"/>
      <w:bookmarkEnd w:id="150"/>
    </w:p>
    <w:p w14:paraId="625491C8" w14:textId="77777777" w:rsidR="0004584D" w:rsidRDefault="0004584D" w:rsidP="00352DB2">
      <w:pPr>
        <w:pStyle w:val="NormalWeb"/>
        <w:spacing w:before="0" w:beforeAutospacing="0" w:after="0" w:afterAutospacing="0"/>
        <w:jc w:val="both"/>
        <w:rPr>
          <w:rFonts w:ascii="Roboto" w:hAnsi="Roboto" w:cs="Calibri"/>
          <w:color w:val="404040" w:themeColor="text1" w:themeTint="BF"/>
          <w:sz w:val="21"/>
          <w:szCs w:val="21"/>
          <w:lang w:val="en-GB"/>
        </w:rPr>
      </w:pPr>
    </w:p>
    <w:p w14:paraId="7CC7CF0B" w14:textId="0B449D56" w:rsidR="00352DB2" w:rsidRPr="003C206F" w:rsidRDefault="00352DB2" w:rsidP="00352DB2">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The Annual Performance Review is a process in which the lessons learned from the previous year are noted</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and UN activities are adjusted accordingly to better suit the needs of the country. As part of the Annual Performance Review, the UN Country Results Report is produced, to which all UN entities in the country contribute, including those not physically located in the country. </w:t>
      </w:r>
      <w:r w:rsidR="00A3767F">
        <w:rPr>
          <w:rFonts w:ascii="Roboto" w:hAnsi="Roboto" w:cs="Calibri"/>
          <w:color w:val="404040" w:themeColor="text1" w:themeTint="BF"/>
          <w:sz w:val="21"/>
          <w:szCs w:val="21"/>
          <w:lang w:val="en-GB"/>
        </w:rPr>
        <w:t>T</w:t>
      </w:r>
      <w:r w:rsidRPr="003C206F">
        <w:rPr>
          <w:rFonts w:ascii="Roboto" w:hAnsi="Roboto" w:cs="Calibri"/>
          <w:color w:val="404040" w:themeColor="text1" w:themeTint="BF"/>
          <w:sz w:val="21"/>
          <w:szCs w:val="21"/>
          <w:lang w:val="en-GB"/>
        </w:rPr>
        <w:t xml:space="preserve">he UN Country Results Report is </w:t>
      </w:r>
      <w:r w:rsidR="00A3767F">
        <w:rPr>
          <w:rFonts w:ascii="Roboto" w:hAnsi="Roboto" w:cs="Calibri"/>
          <w:color w:val="404040" w:themeColor="text1" w:themeTint="BF"/>
          <w:sz w:val="21"/>
          <w:szCs w:val="21"/>
          <w:lang w:val="en-GB"/>
        </w:rPr>
        <w:t>a mandatory, annual public document.</w:t>
      </w:r>
      <w:r w:rsidRPr="003C206F">
        <w:rPr>
          <w:rFonts w:ascii="Roboto" w:hAnsi="Roboto" w:cs="Calibri"/>
          <w:color w:val="404040" w:themeColor="text1" w:themeTint="BF"/>
          <w:sz w:val="21"/>
          <w:szCs w:val="21"/>
          <w:lang w:val="en-GB"/>
        </w:rPr>
        <w:t xml:space="preserve"> </w:t>
      </w:r>
    </w:p>
    <w:p w14:paraId="0660F213" w14:textId="77777777" w:rsidR="00352DB2" w:rsidRPr="003C206F" w:rsidRDefault="00352DB2" w:rsidP="00352DB2">
      <w:pPr>
        <w:rPr>
          <w:rFonts w:ascii="Roboto" w:hAnsi="Roboto"/>
          <w:b/>
          <w:bCs/>
          <w:color w:val="404040" w:themeColor="text1" w:themeTint="BF"/>
          <w:lang w:val="en-GB"/>
        </w:rPr>
      </w:pPr>
    </w:p>
    <w:p w14:paraId="415102EB" w14:textId="77777777" w:rsidR="0004584D" w:rsidRDefault="0004584D">
      <w:pPr>
        <w:rPr>
          <w:rFonts w:ascii="Roboto" w:eastAsiaTheme="majorEastAsia" w:hAnsi="Roboto" w:cs="Calibri"/>
          <w:b/>
          <w:bCs/>
          <w:color w:val="404040" w:themeColor="text1" w:themeTint="BF"/>
          <w:lang w:val="en-GB"/>
        </w:rPr>
      </w:pPr>
      <w:bookmarkStart w:id="151" w:name="_Toc92277978"/>
      <w:r>
        <w:rPr>
          <w:rFonts w:ascii="Roboto" w:hAnsi="Roboto" w:cs="Calibri"/>
          <w:b/>
          <w:bCs/>
          <w:color w:val="404040" w:themeColor="text1" w:themeTint="BF"/>
          <w:lang w:val="en-GB"/>
        </w:rPr>
        <w:br w:type="page"/>
      </w:r>
    </w:p>
    <w:p w14:paraId="50338596" w14:textId="67E9F2C0" w:rsidR="00352DB2" w:rsidRPr="003C206F" w:rsidRDefault="00352DB2" w:rsidP="00352DB2">
      <w:pPr>
        <w:pStyle w:val="Heading2"/>
        <w:spacing w:before="0"/>
        <w:rPr>
          <w:rFonts w:ascii="Roboto" w:hAnsi="Roboto"/>
          <w:b/>
          <w:bCs/>
          <w:color w:val="404040" w:themeColor="text1" w:themeTint="BF"/>
          <w:lang w:val="en-GB"/>
        </w:rPr>
      </w:pPr>
      <w:bookmarkStart w:id="152" w:name="_Toc105333792"/>
      <w:r w:rsidRPr="003C206F">
        <w:rPr>
          <w:rFonts w:ascii="Roboto" w:hAnsi="Roboto" w:cs="Calibri"/>
          <w:b/>
          <w:bCs/>
          <w:color w:val="404040" w:themeColor="text1" w:themeTint="BF"/>
          <w:sz w:val="24"/>
          <w:szCs w:val="24"/>
          <w:lang w:val="en-GB"/>
        </w:rPr>
        <w:lastRenderedPageBreak/>
        <w:t>4.</w:t>
      </w:r>
      <w:r>
        <w:rPr>
          <w:rFonts w:ascii="Roboto" w:hAnsi="Roboto" w:cs="Calibri"/>
          <w:b/>
          <w:bCs/>
          <w:color w:val="404040" w:themeColor="text1" w:themeTint="BF"/>
          <w:sz w:val="24"/>
          <w:szCs w:val="24"/>
          <w:lang w:val="en-GB"/>
        </w:rPr>
        <w:t>3</w:t>
      </w:r>
      <w:r w:rsidRPr="003C206F">
        <w:rPr>
          <w:rFonts w:ascii="Roboto" w:hAnsi="Roboto" w:cs="Calibri"/>
          <w:b/>
          <w:bCs/>
          <w:color w:val="404040" w:themeColor="text1" w:themeTint="BF"/>
          <w:sz w:val="24"/>
          <w:szCs w:val="24"/>
          <w:lang w:val="en-GB"/>
        </w:rPr>
        <w:t>. Evaluation Plan</w:t>
      </w:r>
      <w:bookmarkEnd w:id="151"/>
      <w:bookmarkEnd w:id="152"/>
    </w:p>
    <w:p w14:paraId="017B0119" w14:textId="77777777" w:rsidR="0004584D" w:rsidRDefault="0004584D" w:rsidP="00352DB2">
      <w:pPr>
        <w:pStyle w:val="NormalWeb"/>
        <w:spacing w:before="0" w:beforeAutospacing="0" w:after="0" w:afterAutospacing="0"/>
        <w:jc w:val="both"/>
        <w:rPr>
          <w:rFonts w:ascii="Roboto" w:hAnsi="Roboto" w:cs="Calibri"/>
          <w:color w:val="404040" w:themeColor="text1" w:themeTint="BF"/>
          <w:sz w:val="21"/>
          <w:szCs w:val="21"/>
          <w:lang w:val="en-GB"/>
        </w:rPr>
      </w:pPr>
    </w:p>
    <w:p w14:paraId="6398BEA8" w14:textId="477F80BF" w:rsidR="00352DB2" w:rsidRPr="003C206F" w:rsidRDefault="00352DB2" w:rsidP="00352DB2">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UN-entity programme evaluations will be sequenced to feed into the UNSDCF evaluation – when possible, timed together with the UNSDCF evaluations and, when not (because of different timelines), the </w:t>
      </w:r>
      <w:r>
        <w:rPr>
          <w:rFonts w:ascii="Roboto" w:hAnsi="Roboto" w:cs="Calibri"/>
          <w:color w:val="404040" w:themeColor="text1" w:themeTint="BF"/>
          <w:sz w:val="21"/>
          <w:szCs w:val="21"/>
          <w:lang w:val="en-GB"/>
        </w:rPr>
        <w:t>RCO</w:t>
      </w:r>
      <w:r w:rsidRPr="003C206F">
        <w:rPr>
          <w:rFonts w:ascii="Roboto" w:hAnsi="Roboto" w:cs="Calibri"/>
          <w:color w:val="404040" w:themeColor="text1" w:themeTint="BF"/>
          <w:sz w:val="21"/>
          <w:szCs w:val="21"/>
          <w:lang w:val="en-GB"/>
        </w:rPr>
        <w:t xml:space="preserve"> will keep a repository of the evaluations for the entire UNCT.</w:t>
      </w:r>
    </w:p>
    <w:p w14:paraId="75D713D6" w14:textId="77777777" w:rsidR="00352DB2" w:rsidRPr="003C206F" w:rsidRDefault="00352DB2" w:rsidP="00352DB2">
      <w:pPr>
        <w:rPr>
          <w:rFonts w:ascii="Roboto" w:hAnsi="Roboto"/>
          <w:color w:val="404040" w:themeColor="text1" w:themeTint="BF"/>
          <w:sz w:val="21"/>
          <w:szCs w:val="21"/>
          <w:lang w:val="en-GB"/>
        </w:rPr>
      </w:pPr>
    </w:p>
    <w:p w14:paraId="5720ECA8" w14:textId="77777777" w:rsidR="00352DB2" w:rsidRPr="003C206F" w:rsidRDefault="00352DB2" w:rsidP="00352DB2">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When possible, the UNCT will reduce the evaluation processes while maintaining necessary accountabilities by synchronizing evaluation timelines and combining stakeholder consultations using the same team of evaluators. The UNSDCF will go through a smaller internal evaluation every year at the end of the year (through the Annual Performance Review), while a more in-depth evaluation of the UNSDCF will be done in the last year of the validity of the UNSDCF (in this case, 2026), involving significant stakeholder engagement by means of focus groups, polls, interviews, and consultations. </w:t>
      </w:r>
    </w:p>
    <w:p w14:paraId="2523C2DF" w14:textId="77777777" w:rsidR="00352DB2" w:rsidRPr="003C206F" w:rsidRDefault="00352DB2" w:rsidP="00352DB2">
      <w:pPr>
        <w:rPr>
          <w:rFonts w:ascii="Roboto" w:hAnsi="Roboto"/>
          <w:color w:val="404040" w:themeColor="text1" w:themeTint="BF"/>
          <w:sz w:val="21"/>
          <w:szCs w:val="21"/>
          <w:lang w:val="en-GB"/>
        </w:rPr>
      </w:pPr>
    </w:p>
    <w:p w14:paraId="5C7194E6" w14:textId="48A711F9" w:rsidR="00871C7A" w:rsidRPr="003C206F" w:rsidRDefault="00352DB2" w:rsidP="00352DB2">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Quality and independence according to the UN Evaluation Group norms and standards will be guaranteed by outsourcing the final evaluation to external evaluators. Lessons learned from the evaluation will be identified and used as one of the inputs for the formation of the new UNSDCF.</w:t>
      </w:r>
      <w:r w:rsidR="000601C0">
        <w:rPr>
          <w:rFonts w:ascii="Roboto" w:hAnsi="Roboto" w:cs="Calibri"/>
          <w:color w:val="404040" w:themeColor="text1" w:themeTint="BF"/>
          <w:sz w:val="21"/>
          <w:szCs w:val="21"/>
          <w:lang w:val="en-GB"/>
        </w:rPr>
        <w:t xml:space="preserve"> The </w:t>
      </w:r>
      <w:r w:rsidR="00470709">
        <w:rPr>
          <w:rFonts w:ascii="Roboto" w:hAnsi="Roboto" w:cs="Calibri"/>
          <w:color w:val="404040" w:themeColor="text1" w:themeTint="BF"/>
          <w:sz w:val="21"/>
          <w:szCs w:val="21"/>
          <w:lang w:val="en-GB"/>
        </w:rPr>
        <w:t>Joint UN – Government of the KSA CF Committee, will develop the evaluation plan</w:t>
      </w:r>
      <w:r w:rsidR="000601C0">
        <w:rPr>
          <w:rFonts w:ascii="Roboto" w:hAnsi="Roboto" w:cs="Calibri"/>
          <w:color w:val="404040" w:themeColor="text1" w:themeTint="BF"/>
          <w:sz w:val="21"/>
          <w:szCs w:val="21"/>
          <w:lang w:val="en-GB"/>
        </w:rPr>
        <w:t xml:space="preserve"> in the first year after si</w:t>
      </w:r>
      <w:r w:rsidR="00470709">
        <w:rPr>
          <w:rFonts w:ascii="Roboto" w:hAnsi="Roboto" w:cs="Calibri"/>
          <w:color w:val="404040" w:themeColor="text1" w:themeTint="BF"/>
          <w:sz w:val="21"/>
          <w:szCs w:val="21"/>
          <w:lang w:val="en-GB"/>
        </w:rPr>
        <w:t>gn</w:t>
      </w:r>
      <w:r w:rsidR="000601C0">
        <w:rPr>
          <w:rFonts w:ascii="Roboto" w:hAnsi="Roboto" w:cs="Calibri"/>
          <w:color w:val="404040" w:themeColor="text1" w:themeTint="BF"/>
          <w:sz w:val="21"/>
          <w:szCs w:val="21"/>
          <w:lang w:val="en-GB"/>
        </w:rPr>
        <w:t xml:space="preserve">ing the UNSDCF.  </w:t>
      </w:r>
    </w:p>
    <w:p w14:paraId="4D301C7B" w14:textId="77777777" w:rsidR="00871C7A" w:rsidRPr="003C206F" w:rsidRDefault="00871C7A" w:rsidP="00A4548E">
      <w:pPr>
        <w:rPr>
          <w:rFonts w:ascii="Roboto" w:hAnsi="Roboto"/>
          <w:b/>
          <w:bCs/>
          <w:color w:val="404040" w:themeColor="text1" w:themeTint="BF"/>
          <w:sz w:val="21"/>
          <w:szCs w:val="21"/>
          <w:lang w:val="en-GB"/>
        </w:rPr>
        <w:sectPr w:rsidR="00871C7A" w:rsidRPr="003C206F" w:rsidSect="00EB2ED3">
          <w:type w:val="continuous"/>
          <w:pgSz w:w="11900" w:h="16820"/>
          <w:pgMar w:top="1440" w:right="1440" w:bottom="1440" w:left="1440" w:header="720" w:footer="720" w:gutter="0"/>
          <w:cols w:space="720"/>
          <w:noEndnote/>
          <w:docGrid w:linePitch="360"/>
        </w:sectPr>
      </w:pPr>
    </w:p>
    <w:p w14:paraId="0C6A2A74" w14:textId="47CAE140" w:rsidR="00871C7A" w:rsidRPr="003C206F" w:rsidRDefault="00871C7A" w:rsidP="00A4548E">
      <w:pPr>
        <w:rPr>
          <w:rFonts w:ascii="Roboto" w:hAnsi="Roboto"/>
          <w:b/>
          <w:bCs/>
          <w:color w:val="404040" w:themeColor="text1" w:themeTint="BF"/>
          <w:lang w:val="en-GB"/>
        </w:rPr>
      </w:pPr>
    </w:p>
    <w:p w14:paraId="3AC34FAD" w14:textId="217491B2" w:rsidR="00871C7A" w:rsidRPr="003C206F" w:rsidRDefault="00871C7A">
      <w:pPr>
        <w:rPr>
          <w:rFonts w:ascii="Roboto" w:hAnsi="Roboto"/>
          <w:b/>
          <w:bCs/>
          <w:color w:val="404040" w:themeColor="text1" w:themeTint="BF"/>
          <w:lang w:val="en-GB"/>
        </w:rPr>
      </w:pPr>
      <w:r w:rsidRPr="003C206F">
        <w:rPr>
          <w:rFonts w:ascii="Roboto" w:hAnsi="Roboto"/>
          <w:b/>
          <w:bCs/>
          <w:color w:val="404040" w:themeColor="text1" w:themeTint="BF"/>
          <w:lang w:val="en-GB"/>
        </w:rPr>
        <w:br w:type="page"/>
      </w:r>
    </w:p>
    <w:p w14:paraId="4DC34827" w14:textId="77777777" w:rsidR="00871C7A" w:rsidRPr="003C206F" w:rsidRDefault="00871C7A">
      <w:pPr>
        <w:rPr>
          <w:rFonts w:ascii="Roboto" w:hAnsi="Roboto"/>
          <w:b/>
          <w:bCs/>
          <w:color w:val="404040" w:themeColor="text1" w:themeTint="BF"/>
          <w:lang w:val="en-GB"/>
        </w:rPr>
        <w:sectPr w:rsidR="00871C7A" w:rsidRPr="003C206F" w:rsidSect="00EB2ED3">
          <w:type w:val="continuous"/>
          <w:pgSz w:w="11900" w:h="16820"/>
          <w:pgMar w:top="1440" w:right="1440" w:bottom="1440" w:left="1440" w:header="720" w:footer="720" w:gutter="0"/>
          <w:cols w:num="2" w:space="720"/>
          <w:noEndnote/>
          <w:docGrid w:linePitch="360"/>
        </w:sectPr>
      </w:pPr>
    </w:p>
    <w:p w14:paraId="61FB223D" w14:textId="55E05BD4" w:rsidR="003B719D" w:rsidRDefault="003B719D" w:rsidP="009560EA">
      <w:pPr>
        <w:rPr>
          <w:rFonts w:ascii="Roboto" w:hAnsi="Roboto" w:cs="Calibri"/>
          <w:b/>
          <w:bCs/>
          <w:color w:val="404040" w:themeColor="text1" w:themeTint="BF"/>
          <w:sz w:val="28"/>
          <w:szCs w:val="28"/>
          <w:lang w:val="en-GB"/>
        </w:rPr>
      </w:pPr>
      <w:r w:rsidRPr="003B719D">
        <w:rPr>
          <w:rFonts w:ascii="Roboto" w:hAnsi="Roboto" w:cs="Calibri"/>
          <w:b/>
          <w:bCs/>
          <w:noProof/>
          <w:color w:val="404040" w:themeColor="text1" w:themeTint="BF"/>
          <w:sz w:val="28"/>
          <w:szCs w:val="28"/>
          <w:lang w:val="en-GB"/>
        </w:rPr>
        <w:lastRenderedPageBreak/>
        <w:drawing>
          <wp:anchor distT="0" distB="0" distL="114300" distR="114300" simplePos="0" relativeHeight="251793486" behindDoc="1" locked="0" layoutInCell="1" allowOverlap="1" wp14:anchorId="5A55E973" wp14:editId="7540AEFC">
            <wp:simplePos x="0" y="0"/>
            <wp:positionH relativeFrom="column">
              <wp:posOffset>-914400</wp:posOffset>
            </wp:positionH>
            <wp:positionV relativeFrom="paragraph">
              <wp:posOffset>-914400</wp:posOffset>
            </wp:positionV>
            <wp:extent cx="7559040" cy="1071435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8">
                      <a:extLst>
                        <a:ext uri="{28A0092B-C50C-407E-A947-70E740481C1C}">
                          <a14:useLocalDpi xmlns:a14="http://schemas.microsoft.com/office/drawing/2010/main" val="0"/>
                        </a:ext>
                      </a:extLst>
                    </a:blip>
                    <a:stretch>
                      <a:fillRect/>
                    </a:stretch>
                  </pic:blipFill>
                  <pic:spPr>
                    <a:xfrm>
                      <a:off x="0" y="0"/>
                      <a:ext cx="7559040" cy="10714355"/>
                    </a:xfrm>
                    <a:prstGeom prst="rect">
                      <a:avLst/>
                    </a:prstGeom>
                  </pic:spPr>
                </pic:pic>
              </a:graphicData>
            </a:graphic>
            <wp14:sizeRelH relativeFrom="page">
              <wp14:pctWidth>0</wp14:pctWidth>
            </wp14:sizeRelH>
            <wp14:sizeRelV relativeFrom="page">
              <wp14:pctHeight>0</wp14:pctHeight>
            </wp14:sizeRelV>
          </wp:anchor>
        </w:drawing>
      </w:r>
      <w:r w:rsidRPr="003B719D">
        <w:rPr>
          <w:rFonts w:ascii="Roboto" w:hAnsi="Roboto" w:cs="Calibri"/>
          <w:b/>
          <w:bCs/>
          <w:noProof/>
          <w:color w:val="404040" w:themeColor="text1" w:themeTint="BF"/>
          <w:sz w:val="28"/>
          <w:szCs w:val="28"/>
          <w:lang w:val="en-GB"/>
        </w:rPr>
        <mc:AlternateContent>
          <mc:Choice Requires="wps">
            <w:drawing>
              <wp:anchor distT="45720" distB="45720" distL="114300" distR="114300" simplePos="0" relativeHeight="251792462" behindDoc="0" locked="0" layoutInCell="1" allowOverlap="1" wp14:anchorId="53062177" wp14:editId="27FE6A67">
                <wp:simplePos x="0" y="0"/>
                <wp:positionH relativeFrom="margin">
                  <wp:posOffset>-141605</wp:posOffset>
                </wp:positionH>
                <wp:positionV relativeFrom="paragraph">
                  <wp:posOffset>1526540</wp:posOffset>
                </wp:positionV>
                <wp:extent cx="581406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404620"/>
                        </a:xfrm>
                        <a:prstGeom prst="rect">
                          <a:avLst/>
                        </a:prstGeom>
                        <a:noFill/>
                        <a:ln w="9525">
                          <a:noFill/>
                          <a:miter lim="800000"/>
                          <a:headEnd/>
                          <a:tailEnd/>
                        </a:ln>
                      </wps:spPr>
                      <wps:txbx>
                        <w:txbxContent>
                          <w:p w14:paraId="718B6A7C" w14:textId="77777777" w:rsidR="003B719D" w:rsidRDefault="003B719D" w:rsidP="003B719D">
                            <w:pPr>
                              <w:pStyle w:val="KSASubHead1-Blue"/>
                            </w:pPr>
                          </w:p>
                          <w:p w14:paraId="0C811DD9" w14:textId="77777777" w:rsidR="003B719D" w:rsidRDefault="003B719D" w:rsidP="003B719D">
                            <w:pPr>
                              <w:pStyle w:val="KSASubHead1-Blue"/>
                              <w:rPr>
                                <w:sz w:val="40"/>
                                <w:szCs w:val="40"/>
                              </w:rPr>
                            </w:pPr>
                            <w:r w:rsidRPr="000A10AE">
                              <w:rPr>
                                <w:sz w:val="40"/>
                                <w:szCs w:val="40"/>
                              </w:rPr>
                              <w:t>United Nations Sustainable Develo</w:t>
                            </w:r>
                            <w:r>
                              <w:rPr>
                                <w:sz w:val="40"/>
                                <w:szCs w:val="40"/>
                              </w:rPr>
                              <w:t>p</w:t>
                            </w:r>
                            <w:r w:rsidRPr="000A10AE">
                              <w:rPr>
                                <w:sz w:val="40"/>
                                <w:szCs w:val="40"/>
                              </w:rPr>
                              <w:t xml:space="preserve">ment Cooperation Framework </w:t>
                            </w:r>
                            <w:r>
                              <w:rPr>
                                <w:sz w:val="40"/>
                                <w:szCs w:val="40"/>
                              </w:rPr>
                              <w:t>with</w:t>
                            </w:r>
                            <w:r w:rsidRPr="000A10AE">
                              <w:rPr>
                                <w:sz w:val="40"/>
                                <w:szCs w:val="40"/>
                              </w:rPr>
                              <w:t xml:space="preserve"> the Kingdom of Saudi Arabia 2022–2026 </w:t>
                            </w:r>
                          </w:p>
                          <w:p w14:paraId="5062B89E" w14:textId="1D77279D" w:rsidR="003B719D" w:rsidRPr="000A10AE" w:rsidRDefault="003B719D" w:rsidP="003B719D">
                            <w:pPr>
                              <w:pStyle w:val="KSASubHead1-Blue"/>
                              <w:rPr>
                                <w:i/>
                                <w:sz w:val="40"/>
                                <w:szCs w:val="40"/>
                              </w:rPr>
                            </w:pPr>
                            <w:r>
                              <w:rPr>
                                <w:sz w:val="40"/>
                                <w:szCs w:val="40"/>
                              </w:rPr>
                              <w:t>Annexes</w:t>
                            </w:r>
                          </w:p>
                          <w:p w14:paraId="7651545F" w14:textId="77777777" w:rsidR="003B719D" w:rsidRDefault="003B719D" w:rsidP="003B719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062177" id="_x0000_s1031" type="#_x0000_t202" style="position:absolute;margin-left:-11.15pt;margin-top:120.2pt;width:457.8pt;height:110.6pt;z-index:2517924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" filled="f" stroked="f">
                <v:textbox style="mso-fit-shape-to-text:t">
                  <w:txbxContent>
                    <w:p w14:paraId="718B6A7C" w14:textId="77777777" w:rsidR="003B719D" w:rsidRDefault="003B719D" w:rsidP="003B719D">
                      <w:pPr>
                        <w:pStyle w:val="KSASubHead1-Blue"/>
                      </w:pPr>
                    </w:p>
                    <w:p w14:paraId="0C811DD9" w14:textId="77777777" w:rsidR="003B719D" w:rsidRDefault="003B719D" w:rsidP="003B719D">
                      <w:pPr>
                        <w:pStyle w:val="KSASubHead1-Blue"/>
                        <w:rPr>
                          <w:sz w:val="40"/>
                          <w:szCs w:val="40"/>
                        </w:rPr>
                      </w:pPr>
                      <w:r w:rsidRPr="000A10AE">
                        <w:rPr>
                          <w:sz w:val="40"/>
                          <w:szCs w:val="40"/>
                        </w:rPr>
                        <w:t>United Nations Sustainable Develo</w:t>
                      </w:r>
                      <w:r>
                        <w:rPr>
                          <w:sz w:val="40"/>
                          <w:szCs w:val="40"/>
                        </w:rPr>
                        <w:t>p</w:t>
                      </w:r>
                      <w:r w:rsidRPr="000A10AE">
                        <w:rPr>
                          <w:sz w:val="40"/>
                          <w:szCs w:val="40"/>
                        </w:rPr>
                        <w:t xml:space="preserve">ment Cooperation Framework </w:t>
                      </w:r>
                      <w:r>
                        <w:rPr>
                          <w:sz w:val="40"/>
                          <w:szCs w:val="40"/>
                        </w:rPr>
                        <w:t>with</w:t>
                      </w:r>
                      <w:r w:rsidRPr="000A10AE">
                        <w:rPr>
                          <w:sz w:val="40"/>
                          <w:szCs w:val="40"/>
                        </w:rPr>
                        <w:t xml:space="preserve"> the Kingdom of Saudi Arabia 2022–2026 </w:t>
                      </w:r>
                    </w:p>
                    <w:p w14:paraId="5062B89E" w14:textId="1D77279D" w:rsidR="003B719D" w:rsidRPr="000A10AE" w:rsidRDefault="003B719D" w:rsidP="003B719D">
                      <w:pPr>
                        <w:pStyle w:val="KSASubHead1-Blue"/>
                        <w:rPr>
                          <w:i/>
                          <w:sz w:val="40"/>
                          <w:szCs w:val="40"/>
                        </w:rPr>
                      </w:pPr>
                      <w:r>
                        <w:rPr>
                          <w:sz w:val="40"/>
                          <w:szCs w:val="40"/>
                        </w:rPr>
                        <w:t>Annexes</w:t>
                      </w:r>
                    </w:p>
                    <w:p w14:paraId="7651545F" w14:textId="77777777" w:rsidR="003B719D" w:rsidRDefault="003B719D" w:rsidP="003B719D"/>
                  </w:txbxContent>
                </v:textbox>
                <w10:wrap anchorx="margin"/>
              </v:shape>
            </w:pict>
          </mc:Fallback>
        </mc:AlternateContent>
      </w:r>
      <w:r w:rsidRPr="003B719D">
        <w:rPr>
          <w:rFonts w:ascii="Roboto" w:hAnsi="Roboto" w:cs="Calibri"/>
          <w:b/>
          <w:bCs/>
          <w:noProof/>
          <w:color w:val="404040" w:themeColor="text1" w:themeTint="BF"/>
          <w:sz w:val="28"/>
          <w:szCs w:val="28"/>
          <w:lang w:val="en-GB"/>
        </w:rPr>
        <w:drawing>
          <wp:anchor distT="0" distB="0" distL="114300" distR="114300" simplePos="0" relativeHeight="251791438" behindDoc="0" locked="0" layoutInCell="1" allowOverlap="1" wp14:anchorId="6278573F" wp14:editId="3C8A7D87">
            <wp:simplePos x="0" y="0"/>
            <wp:positionH relativeFrom="column">
              <wp:posOffset>1386205</wp:posOffset>
            </wp:positionH>
            <wp:positionV relativeFrom="paragraph">
              <wp:posOffset>-266700</wp:posOffset>
            </wp:positionV>
            <wp:extent cx="1117600" cy="12592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17600" cy="1259205"/>
                    </a:xfrm>
                    <a:prstGeom prst="rect">
                      <a:avLst/>
                    </a:prstGeom>
                  </pic:spPr>
                </pic:pic>
              </a:graphicData>
            </a:graphic>
            <wp14:sizeRelH relativeFrom="page">
              <wp14:pctWidth>0</wp14:pctWidth>
            </wp14:sizeRelH>
            <wp14:sizeRelV relativeFrom="page">
              <wp14:pctHeight>0</wp14:pctHeight>
            </wp14:sizeRelV>
          </wp:anchor>
        </w:drawing>
      </w:r>
      <w:r w:rsidRPr="003B719D">
        <w:rPr>
          <w:rFonts w:ascii="Roboto" w:hAnsi="Roboto" w:cs="Calibri"/>
          <w:b/>
          <w:bCs/>
          <w:noProof/>
          <w:color w:val="404040" w:themeColor="text1" w:themeTint="BF"/>
          <w:sz w:val="28"/>
          <w:szCs w:val="28"/>
          <w:lang w:val="en-GB"/>
        </w:rPr>
        <w:drawing>
          <wp:anchor distT="0" distB="0" distL="114300" distR="114300" simplePos="0" relativeHeight="251790414" behindDoc="0" locked="0" layoutInCell="1" allowOverlap="1" wp14:anchorId="353C3243" wp14:editId="49050ADE">
            <wp:simplePos x="0" y="0"/>
            <wp:positionH relativeFrom="column">
              <wp:posOffset>1905</wp:posOffset>
            </wp:positionH>
            <wp:positionV relativeFrom="paragraph">
              <wp:posOffset>-203835</wp:posOffset>
            </wp:positionV>
            <wp:extent cx="1219200" cy="1346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19200" cy="1346200"/>
                    </a:xfrm>
                    <a:prstGeom prst="rect">
                      <a:avLst/>
                    </a:prstGeom>
                  </pic:spPr>
                </pic:pic>
              </a:graphicData>
            </a:graphic>
            <wp14:sizeRelH relativeFrom="page">
              <wp14:pctWidth>0</wp14:pctWidth>
            </wp14:sizeRelH>
            <wp14:sizeRelV relativeFrom="page">
              <wp14:pctHeight>0</wp14:pctHeight>
            </wp14:sizeRelV>
          </wp:anchor>
        </w:drawing>
      </w:r>
    </w:p>
    <w:p w14:paraId="6F190F37" w14:textId="77777777" w:rsidR="003B719D" w:rsidRDefault="003B719D">
      <w:pPr>
        <w:rPr>
          <w:rFonts w:ascii="Roboto" w:eastAsiaTheme="majorEastAsia" w:hAnsi="Roboto" w:cs="Calibri"/>
          <w:b/>
          <w:bCs/>
          <w:color w:val="404040" w:themeColor="text1" w:themeTint="BF"/>
          <w:sz w:val="28"/>
          <w:szCs w:val="28"/>
          <w:lang w:val="en-GB"/>
        </w:rPr>
      </w:pPr>
      <w:r>
        <w:rPr>
          <w:rFonts w:ascii="Roboto" w:hAnsi="Roboto" w:cs="Calibri"/>
          <w:b/>
          <w:bCs/>
          <w:color w:val="404040" w:themeColor="text1" w:themeTint="BF"/>
          <w:sz w:val="28"/>
          <w:szCs w:val="28"/>
          <w:lang w:val="en-GB"/>
        </w:rPr>
        <w:br w:type="page"/>
      </w:r>
    </w:p>
    <w:p w14:paraId="5E70241D" w14:textId="1532BB22" w:rsidR="00757F1D" w:rsidRPr="003C206F" w:rsidRDefault="00757F1D" w:rsidP="00757F1D">
      <w:pPr>
        <w:pStyle w:val="Heading1"/>
        <w:spacing w:before="0"/>
        <w:rPr>
          <w:rFonts w:ascii="Roboto" w:eastAsia="Times New Roman" w:hAnsi="Roboto"/>
          <w:b/>
          <w:bCs/>
          <w:color w:val="404040" w:themeColor="text1" w:themeTint="BF"/>
          <w:lang w:val="en-GB"/>
        </w:rPr>
      </w:pPr>
      <w:bookmarkStart w:id="153" w:name="_Toc92277979"/>
      <w:bookmarkStart w:id="154" w:name="_Toc105333793"/>
      <w:r w:rsidRPr="006812AD">
        <w:rPr>
          <w:rFonts w:ascii="Roboto" w:hAnsi="Roboto" w:cs="Calibri"/>
          <w:b/>
          <w:bCs/>
          <w:color w:val="4472C4" w:themeColor="accent1"/>
          <w:sz w:val="28"/>
          <w:szCs w:val="28"/>
          <w:lang w:val="en-GB"/>
        </w:rPr>
        <w:lastRenderedPageBreak/>
        <w:t>Annex A. Legal Annex</w:t>
      </w:r>
      <w:bookmarkEnd w:id="153"/>
      <w:bookmarkEnd w:id="154"/>
    </w:p>
    <w:p w14:paraId="0F265B5B"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This Legal Annex refers to the cooperation or assistance agreements or other agreements that are the already existing legal basis for the relationship between the Government of the Kingdom of Saudi Arabia and each UN organization supporting the country to deliver on the United Nations Sustainable Development Cooperation Framework (2022</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2026).</w:t>
      </w:r>
    </w:p>
    <w:p w14:paraId="4D8B7E56"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Whereas the Government of the Kingdom of Saudi Arabia (hereinafter referred to as </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the Government</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has entered into the following relationships</w:t>
      </w:r>
      <w:r>
        <w:rPr>
          <w:rFonts w:ascii="Roboto" w:hAnsi="Roboto"/>
          <w:color w:val="404040" w:themeColor="text1" w:themeTint="BF"/>
          <w:sz w:val="21"/>
          <w:szCs w:val="21"/>
          <w:lang w:val="en-GB"/>
        </w:rPr>
        <w:t>:</w:t>
      </w:r>
      <w:r w:rsidRPr="003C206F">
        <w:rPr>
          <w:rStyle w:val="EndnoteReference"/>
          <w:rFonts w:ascii="Roboto" w:hAnsi="Roboto"/>
          <w:color w:val="404040" w:themeColor="text1" w:themeTint="BF"/>
          <w:sz w:val="21"/>
          <w:szCs w:val="21"/>
          <w:lang w:val="en-GB"/>
        </w:rPr>
        <w:endnoteReference w:id="24"/>
      </w:r>
    </w:p>
    <w:p w14:paraId="7B7A7FA2"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sidRPr="00927379">
        <w:rPr>
          <w:rFonts w:ascii="Roboto" w:hAnsi="Roboto"/>
          <w:color w:val="404040" w:themeColor="text1" w:themeTint="BF"/>
          <w:sz w:val="21"/>
          <w:szCs w:val="21"/>
          <w:lang w:val="en-GB"/>
        </w:rPr>
        <w:t xml:space="preserve"> </w:t>
      </w:r>
      <w:r>
        <w:rPr>
          <w:rFonts w:ascii="Roboto" w:hAnsi="Roboto"/>
          <w:color w:val="404040" w:themeColor="text1" w:themeTint="BF"/>
          <w:sz w:val="21"/>
          <w:szCs w:val="21"/>
          <w:lang w:val="en-GB"/>
        </w:rPr>
        <w:t>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United Nations Development Programme (UNDP)</w:t>
      </w:r>
      <w:r>
        <w:rPr>
          <w:rFonts w:ascii="Roboto" w:hAnsi="Roboto"/>
          <w:b/>
          <w:bCs/>
          <w:color w:val="404040" w:themeColor="text1" w:themeTint="BF"/>
          <w:sz w:val="21"/>
          <w:szCs w:val="21"/>
          <w:lang w:val="en-GB"/>
        </w:rPr>
        <w:t>,</w:t>
      </w:r>
      <w:r w:rsidRPr="003C206F">
        <w:rPr>
          <w:rFonts w:ascii="Roboto" w:hAnsi="Roboto"/>
          <w:color w:val="404040" w:themeColor="text1" w:themeTint="BF"/>
          <w:sz w:val="21"/>
          <w:szCs w:val="21"/>
          <w:lang w:val="en-GB"/>
        </w:rPr>
        <w:t xml:space="preserve"> through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w:t>
      </w:r>
    </w:p>
    <w:p w14:paraId="257F5440"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w:t>
      </w:r>
      <w:r w:rsidRPr="002A2655">
        <w:rPr>
          <w:rFonts w:ascii="Roboto" w:hAnsi="Roboto"/>
          <w:b/>
          <w:bCs/>
          <w:color w:val="404040" w:themeColor="text1" w:themeTint="BF"/>
          <w:sz w:val="21"/>
          <w:szCs w:val="21"/>
          <w:lang w:val="en-GB"/>
        </w:rPr>
        <w:t>the United Nations Environment Programme (UNEP)</w:t>
      </w:r>
      <w:r>
        <w:rPr>
          <w:rFonts w:ascii="Roboto" w:hAnsi="Roboto"/>
          <w:color w:val="404040" w:themeColor="text1" w:themeTint="BF"/>
          <w:sz w:val="21"/>
          <w:szCs w:val="21"/>
          <w:lang w:val="en-GB"/>
        </w:rPr>
        <w:t xml:space="preserve">, </w:t>
      </w:r>
      <w:r w:rsidRPr="00CC1EEC">
        <w:rPr>
          <w:rFonts w:ascii="Roboto" w:hAnsi="Roboto"/>
          <w:color w:val="404040" w:themeColor="text1" w:themeTint="BF"/>
          <w:sz w:val="21"/>
          <w:szCs w:val="21"/>
          <w:lang w:val="en-GB"/>
        </w:rPr>
        <w:t xml:space="preserve">the provisions of the Strategic Cooperation Agreement signed between the Ministry of Environment, Water and Agriculture of the Kingdom of Saudi Arabia and the </w:t>
      </w:r>
      <w:r>
        <w:rPr>
          <w:rFonts w:ascii="Roboto" w:hAnsi="Roboto"/>
          <w:color w:val="404040" w:themeColor="text1" w:themeTint="BF"/>
          <w:sz w:val="21"/>
          <w:szCs w:val="21"/>
          <w:lang w:val="en-GB"/>
        </w:rPr>
        <w:t>UNEP</w:t>
      </w:r>
      <w:r w:rsidRPr="00CC1EEC">
        <w:rPr>
          <w:rFonts w:ascii="Roboto" w:hAnsi="Roboto"/>
          <w:color w:val="404040" w:themeColor="text1" w:themeTint="BF"/>
          <w:sz w:val="21"/>
          <w:szCs w:val="21"/>
          <w:lang w:val="en-GB"/>
        </w:rPr>
        <w:t xml:space="preserve"> on 19 May 2019 and entered into force in May 2020. </w:t>
      </w:r>
      <w:r w:rsidRPr="003C206F" w:rsidDel="00CC1EEC">
        <w:rPr>
          <w:rFonts w:ascii="Roboto" w:hAnsi="Roboto"/>
          <w:color w:val="404040" w:themeColor="text1" w:themeTint="BF"/>
          <w:sz w:val="21"/>
          <w:szCs w:val="21"/>
          <w:lang w:val="en-GB"/>
        </w:rPr>
        <w:t xml:space="preserve"> </w:t>
      </w:r>
    </w:p>
    <w:p w14:paraId="20CFF265"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sidRPr="003A0307">
        <w:rPr>
          <w:rFonts w:ascii="Roboto" w:hAnsi="Roboto"/>
          <w:color w:val="404040" w:themeColor="text1" w:themeTint="BF"/>
          <w:sz w:val="21"/>
          <w:szCs w:val="21"/>
          <w:lang w:val="en-GB"/>
        </w:rPr>
        <w:t xml:space="preserve"> </w:t>
      </w:r>
      <w:r>
        <w:rPr>
          <w:rFonts w:ascii="Roboto" w:hAnsi="Roboto"/>
          <w:color w:val="404040" w:themeColor="text1" w:themeTint="BF"/>
          <w:sz w:val="21"/>
          <w:szCs w:val="21"/>
          <w:lang w:val="en-GB"/>
        </w:rPr>
        <w:t>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United Nations Educational, Scientific and Cultural Organization (UNESCO)</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the provisions of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 shall be applied, mutatis mutandis, to UNESCO projects and programmes in the Kingdom of Saudi Arabia.</w:t>
      </w:r>
    </w:p>
    <w:p w14:paraId="6492C9AE"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United Nations Economic and Social Commission for West Asia (ESCWA)</w:t>
      </w:r>
      <w:r w:rsidRPr="003C206F">
        <w:rPr>
          <w:rFonts w:ascii="Roboto" w:hAnsi="Roboto"/>
          <w:color w:val="404040" w:themeColor="text1" w:themeTint="BF"/>
          <w:sz w:val="21"/>
          <w:szCs w:val="21"/>
          <w:lang w:val="en-GB"/>
        </w:rPr>
        <w:t>, as per United Nations Economic and Social Council resolution 1818 (LV) of 9 August 1973</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which established the Commission, with the membership of the previous United Nations Economic and Social Office in Beirut that included the Kingdom of Saudi Arabia.</w:t>
      </w:r>
    </w:p>
    <w:p w14:paraId="6E5012DE"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The </w:t>
      </w:r>
      <w:r w:rsidRPr="002A2655">
        <w:rPr>
          <w:rFonts w:ascii="Roboto" w:hAnsi="Roboto"/>
          <w:b/>
          <w:bCs/>
          <w:color w:val="404040" w:themeColor="text1" w:themeTint="BF"/>
          <w:sz w:val="21"/>
          <w:szCs w:val="21"/>
          <w:lang w:val="en-GB"/>
        </w:rPr>
        <w:t>Food and Agriculture Organization of the United Nations (FAO)</w:t>
      </w:r>
      <w:r w:rsidRPr="003C206F">
        <w:rPr>
          <w:rFonts w:ascii="Roboto" w:hAnsi="Roboto"/>
          <w:color w:val="404040" w:themeColor="text1" w:themeTint="BF"/>
          <w:sz w:val="21"/>
          <w:szCs w:val="21"/>
          <w:lang w:val="en-GB"/>
        </w:rPr>
        <w:t xml:space="preserve"> and the Ministry of Agriculture signed the first Technical Cooperation Agreement in 1950.</w:t>
      </w:r>
    </w:p>
    <w:p w14:paraId="10F0B5C1" w14:textId="77777777" w:rsidR="00757F1D" w:rsidRPr="003C206F" w:rsidRDefault="00757F1D" w:rsidP="00757F1D">
      <w:pPr>
        <w:pStyle w:val="ListParagraph"/>
        <w:numPr>
          <w:ilvl w:val="0"/>
          <w:numId w:val="27"/>
        </w:numPr>
        <w:spacing w:before="240" w:after="100" w:afterAutospacing="1"/>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United Nations Human Settlement Programme (UN-Habitat)</w:t>
      </w:r>
      <w:r w:rsidRPr="003C206F">
        <w:rPr>
          <w:rFonts w:ascii="Roboto" w:hAnsi="Roboto"/>
          <w:color w:val="404040" w:themeColor="text1" w:themeTint="BF"/>
          <w:sz w:val="21"/>
          <w:szCs w:val="21"/>
          <w:lang w:val="en-GB"/>
        </w:rPr>
        <w:t xml:space="preserve">, the provisions of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 shall be applied, mutatis mutandis, to </w:t>
      </w:r>
      <w:r w:rsidRPr="00645128">
        <w:rPr>
          <w:rFonts w:ascii="Roboto" w:hAnsi="Roboto"/>
          <w:color w:val="404040" w:themeColor="text1" w:themeTint="BF"/>
          <w:sz w:val="21"/>
          <w:szCs w:val="21"/>
          <w:lang w:val="en-GB"/>
        </w:rPr>
        <w:t>UN-Habitat</w:t>
      </w:r>
      <w:r w:rsidRPr="003C206F">
        <w:rPr>
          <w:rFonts w:ascii="Roboto" w:hAnsi="Roboto"/>
          <w:color w:val="404040" w:themeColor="text1" w:themeTint="BF"/>
          <w:sz w:val="21"/>
          <w:szCs w:val="21"/>
          <w:lang w:val="en-GB"/>
        </w:rPr>
        <w:t xml:space="preserve"> projects and programmes in the Kingdom of Saudi Arabia.</w:t>
      </w:r>
    </w:p>
    <w:p w14:paraId="7D795E30"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Office of the United Nations High Commissioner for Refugees (UNHCR)</w:t>
      </w:r>
      <w:r w:rsidRPr="003C206F">
        <w:rPr>
          <w:rFonts w:ascii="Roboto" w:hAnsi="Roboto"/>
          <w:color w:val="404040" w:themeColor="text1" w:themeTint="BF"/>
          <w:sz w:val="21"/>
          <w:szCs w:val="21"/>
          <w:lang w:val="en-GB"/>
        </w:rPr>
        <w:t>, protocol amending memorandum of understanding between the Government of the KSA and UNHCR of 3 March 2010 and UN General Assembly Resolution 428 (V) of 14 December 1950.</w:t>
      </w:r>
    </w:p>
    <w:p w14:paraId="341F56AB"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United Nations Children’s Fund (UNICEF)</w:t>
      </w:r>
      <w:r w:rsidRPr="003C206F">
        <w:rPr>
          <w:rFonts w:ascii="Roboto" w:hAnsi="Roboto"/>
          <w:color w:val="404040" w:themeColor="text1" w:themeTint="BF"/>
          <w:sz w:val="21"/>
          <w:szCs w:val="21"/>
          <w:lang w:val="en-GB"/>
        </w:rPr>
        <w:t xml:space="preserve"> and the Government of the Kingdom of Saudi Arabia signed the Basic Cooperation Agreement on </w:t>
      </w:r>
      <w:r>
        <w:rPr>
          <w:rFonts w:ascii="Roboto" w:hAnsi="Roboto"/>
          <w:color w:val="404040" w:themeColor="text1" w:themeTint="BF"/>
          <w:sz w:val="21"/>
          <w:szCs w:val="21"/>
          <w:lang w:val="en-GB"/>
        </w:rPr>
        <w:t xml:space="preserve">4 </w:t>
      </w:r>
      <w:r w:rsidRPr="003C206F">
        <w:rPr>
          <w:rFonts w:ascii="Roboto" w:hAnsi="Roboto"/>
          <w:color w:val="404040" w:themeColor="text1" w:themeTint="BF"/>
          <w:sz w:val="21"/>
          <w:szCs w:val="21"/>
          <w:lang w:val="en-GB"/>
        </w:rPr>
        <w:t>July 1961 and based on the Gulf Area Programme Document approved by the UNICEF Executive Board in 2018.</w:t>
      </w:r>
    </w:p>
    <w:p w14:paraId="314CA215"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United Nations Industrial Development Organization (UNIDO)</w:t>
      </w:r>
      <w:r w:rsidRPr="003C206F">
        <w:rPr>
          <w:rFonts w:ascii="Roboto" w:hAnsi="Roboto"/>
          <w:color w:val="404040" w:themeColor="text1" w:themeTint="BF"/>
          <w:sz w:val="21"/>
          <w:szCs w:val="21"/>
          <w:lang w:val="en-GB"/>
        </w:rPr>
        <w:t xml:space="preserve">, the provisions of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 shall be applied, mutatis mutandis, to UNIDO projects and programmes in the Kingdom of Saudi Arabia.</w:t>
      </w:r>
    </w:p>
    <w:p w14:paraId="63F2CFCD"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 the </w:t>
      </w:r>
      <w:r w:rsidRPr="002A2655">
        <w:rPr>
          <w:rFonts w:ascii="Roboto" w:hAnsi="Roboto"/>
          <w:b/>
          <w:bCs/>
          <w:color w:val="404040" w:themeColor="text1" w:themeTint="BF"/>
          <w:sz w:val="21"/>
          <w:szCs w:val="21"/>
          <w:lang w:val="en-GB"/>
        </w:rPr>
        <w:t>International Labour Organization (ILO)</w:t>
      </w:r>
      <w:r w:rsidRPr="003C206F">
        <w:rPr>
          <w:rFonts w:ascii="Roboto" w:hAnsi="Roboto"/>
          <w:color w:val="404040" w:themeColor="text1" w:themeTint="BF"/>
          <w:sz w:val="21"/>
          <w:szCs w:val="21"/>
          <w:lang w:val="en-GB"/>
        </w:rPr>
        <w:t xml:space="preserve">, the Agreement (with </w:t>
      </w:r>
      <w:r>
        <w:rPr>
          <w:rFonts w:ascii="Roboto" w:hAnsi="Roboto"/>
          <w:color w:val="404040" w:themeColor="text1" w:themeTint="BF"/>
          <w:sz w:val="21"/>
          <w:szCs w:val="21"/>
          <w:lang w:val="en-GB"/>
        </w:rPr>
        <w:t xml:space="preserve">the </w:t>
      </w:r>
      <w:r w:rsidRPr="003C206F">
        <w:rPr>
          <w:rFonts w:ascii="Roboto" w:hAnsi="Roboto"/>
          <w:color w:val="404040" w:themeColor="text1" w:themeTint="BF"/>
          <w:sz w:val="21"/>
          <w:szCs w:val="21"/>
          <w:lang w:val="en-GB"/>
        </w:rPr>
        <w:t xml:space="preserve">exchange of letters) concerning technical assistance, signed on 17 February 1957, and the exchange of </w:t>
      </w:r>
      <w:r w:rsidRPr="003C206F">
        <w:rPr>
          <w:rFonts w:ascii="Roboto" w:hAnsi="Roboto"/>
          <w:color w:val="404040" w:themeColor="text1" w:themeTint="BF"/>
          <w:sz w:val="21"/>
          <w:szCs w:val="21"/>
          <w:lang w:val="en-GB"/>
        </w:rPr>
        <w:lastRenderedPageBreak/>
        <w:t xml:space="preserve">letters between the ILO and the Government dated 24 January 2012 concerning </w:t>
      </w:r>
      <w:r>
        <w:rPr>
          <w:rFonts w:ascii="Roboto" w:hAnsi="Roboto"/>
          <w:color w:val="404040" w:themeColor="text1" w:themeTint="BF"/>
          <w:sz w:val="21"/>
          <w:szCs w:val="21"/>
          <w:lang w:val="en-GB"/>
        </w:rPr>
        <w:t>t</w:t>
      </w:r>
      <w:r w:rsidRPr="003C206F">
        <w:rPr>
          <w:rFonts w:ascii="Roboto" w:hAnsi="Roboto"/>
          <w:color w:val="404040" w:themeColor="text1" w:themeTint="BF"/>
          <w:sz w:val="21"/>
          <w:szCs w:val="21"/>
          <w:lang w:val="en-GB"/>
        </w:rPr>
        <w:t>echnical cooperation activities of the ILO in the Kingdom of Saudi Arabia.</w:t>
      </w:r>
    </w:p>
    <w:p w14:paraId="751AD2F2"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Pr>
          <w:rFonts w:ascii="Roboto" w:hAnsi="Roboto"/>
          <w:color w:val="404040" w:themeColor="text1" w:themeTint="BF"/>
          <w:sz w:val="21"/>
          <w:szCs w:val="21"/>
          <w:lang w:val="en-GB"/>
        </w:rPr>
        <w:t xml:space="preserve"> 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International Organization for Migration (IOM)</w:t>
      </w:r>
      <w:r>
        <w:rPr>
          <w:rFonts w:ascii="Roboto" w:hAnsi="Roboto"/>
          <w:color w:val="404040" w:themeColor="text1" w:themeTint="BF"/>
          <w:sz w:val="21"/>
          <w:szCs w:val="21"/>
          <w:lang w:val="en-GB"/>
        </w:rPr>
        <w:t xml:space="preserve">, </w:t>
      </w:r>
      <w:r w:rsidRPr="005720F6">
        <w:rPr>
          <w:rFonts w:ascii="Roboto" w:hAnsi="Roboto"/>
          <w:color w:val="404040" w:themeColor="text1" w:themeTint="BF"/>
          <w:sz w:val="21"/>
          <w:szCs w:val="21"/>
          <w:lang w:val="en-GB"/>
        </w:rPr>
        <w:t xml:space="preserve">the Memorandum of Understanding on Technical Cooperation </w:t>
      </w:r>
      <w:r>
        <w:rPr>
          <w:rFonts w:ascii="Roboto" w:hAnsi="Roboto"/>
          <w:color w:val="404040" w:themeColor="text1" w:themeTint="BF"/>
          <w:sz w:val="21"/>
          <w:szCs w:val="21"/>
          <w:lang w:val="en-GB"/>
        </w:rPr>
        <w:t xml:space="preserve">was </w:t>
      </w:r>
      <w:r w:rsidRPr="005720F6">
        <w:rPr>
          <w:rFonts w:ascii="Roboto" w:hAnsi="Roboto"/>
          <w:color w:val="404040" w:themeColor="text1" w:themeTint="BF"/>
          <w:sz w:val="21"/>
          <w:szCs w:val="21"/>
          <w:lang w:val="en-GB"/>
        </w:rPr>
        <w:t>concluded between the Human Rights Commission of the Kingdom of Saudi Arabia and IOM on 8 December 2016. It is further noted that IOM enjoys privileges and immunities as based on its status as an intergovernmental organization part of the United Nations system.</w:t>
      </w:r>
    </w:p>
    <w:p w14:paraId="211B8833"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Pr>
          <w:rFonts w:ascii="Roboto" w:hAnsi="Roboto"/>
          <w:color w:val="404040" w:themeColor="text1" w:themeTint="BF"/>
          <w:sz w:val="21"/>
          <w:szCs w:val="21"/>
          <w:lang w:val="en-GB"/>
        </w:rPr>
        <w:t xml:space="preserve"> 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United Nations Office on Drugs and Crime (UNODC)</w:t>
      </w:r>
      <w:r w:rsidRPr="003C206F">
        <w:rPr>
          <w:rFonts w:ascii="Roboto" w:hAnsi="Roboto"/>
          <w:color w:val="404040" w:themeColor="text1" w:themeTint="BF"/>
          <w:sz w:val="21"/>
          <w:szCs w:val="21"/>
          <w:lang w:val="en-GB"/>
        </w:rPr>
        <w:t xml:space="preserve">, the provisions of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 shall be applied, mutatis mutandis, to UNODC projects and programmes in the Kingdom of Saudi Arabia. In addition to the Memorandum of Understanding between the UNODC and the Ministry of Interior, signed on 2 November 2021, the Memorandum of Understanding between the UNODC and the Naif Arab University for Security Sciences, signed on 24 May 2019, and the accreditation of UNODC by the Government of the Kingdom of Saudi Arabia on the basis of the Host Country Agreement with the Government of United Arab Emirates signed on 15 October 2008.</w:t>
      </w:r>
    </w:p>
    <w:p w14:paraId="3844D0CA"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Pr>
          <w:rFonts w:ascii="Roboto" w:hAnsi="Roboto"/>
          <w:color w:val="404040" w:themeColor="text1" w:themeTint="BF"/>
          <w:sz w:val="21"/>
          <w:szCs w:val="21"/>
          <w:lang w:val="en-GB"/>
        </w:rPr>
        <w:t xml:space="preserve"> 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Office of the United Nations High Commissioner for Human Rights (OHCHR)</w:t>
      </w:r>
      <w:r w:rsidRPr="003C206F">
        <w:rPr>
          <w:rFonts w:ascii="Roboto" w:hAnsi="Roboto"/>
          <w:color w:val="404040" w:themeColor="text1" w:themeTint="BF"/>
          <w:sz w:val="21"/>
          <w:szCs w:val="21"/>
          <w:lang w:val="en-GB"/>
        </w:rPr>
        <w:t xml:space="preserve">, the provisions of the Standard Basic Assistance Agreement between the </w:t>
      </w:r>
      <w:r>
        <w:rPr>
          <w:rFonts w:ascii="Roboto" w:hAnsi="Roboto"/>
          <w:color w:val="404040" w:themeColor="text1" w:themeTint="BF"/>
          <w:sz w:val="21"/>
          <w:szCs w:val="21"/>
          <w:lang w:val="en-GB"/>
        </w:rPr>
        <w:t>UNDP</w:t>
      </w:r>
      <w:r w:rsidRPr="003C206F">
        <w:rPr>
          <w:rFonts w:ascii="Roboto" w:hAnsi="Roboto"/>
          <w:color w:val="404040" w:themeColor="text1" w:themeTint="BF"/>
          <w:sz w:val="21"/>
          <w:szCs w:val="21"/>
          <w:lang w:val="en-GB"/>
        </w:rPr>
        <w:t xml:space="preserve"> and the Government, signed on 4 January 1976 and entered into force on 18 December 1976, shall be applied, mutatis mutandis, to OHCHR projects and programmes in the Kingdom of Saudi Arabia. In addition, to the Memorandum of Understanding between the OHCHR and the Saudi Human Rights Commission, signed on 27 June 2012.</w:t>
      </w:r>
    </w:p>
    <w:p w14:paraId="430A9B11" w14:textId="77777777" w:rsidR="00757F1D" w:rsidRPr="003C206F" w:rsidRDefault="00757F1D" w:rsidP="00757F1D">
      <w:pPr>
        <w:pStyle w:val="NormalWeb"/>
        <w:numPr>
          <w:ilvl w:val="0"/>
          <w:numId w:val="27"/>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w:t>
      </w:r>
      <w:r w:rsidRPr="00927379">
        <w:rPr>
          <w:rFonts w:ascii="Roboto" w:hAnsi="Roboto"/>
          <w:color w:val="404040" w:themeColor="text1" w:themeTint="BF"/>
          <w:sz w:val="21"/>
          <w:szCs w:val="21"/>
          <w:lang w:val="en-GB"/>
        </w:rPr>
        <w:t xml:space="preserve"> </w:t>
      </w:r>
      <w:r>
        <w:rPr>
          <w:rFonts w:ascii="Roboto" w:hAnsi="Roboto"/>
          <w:color w:val="404040" w:themeColor="text1" w:themeTint="BF"/>
          <w:sz w:val="21"/>
          <w:szCs w:val="21"/>
          <w:lang w:val="en-GB"/>
        </w:rPr>
        <w:t>the</w:t>
      </w:r>
      <w:r w:rsidRPr="003C206F">
        <w:rPr>
          <w:rFonts w:ascii="Roboto" w:hAnsi="Roboto"/>
          <w:color w:val="404040" w:themeColor="text1" w:themeTint="BF"/>
          <w:sz w:val="21"/>
          <w:szCs w:val="21"/>
          <w:lang w:val="en-GB"/>
        </w:rPr>
        <w:t xml:space="preserve"> </w:t>
      </w:r>
      <w:r w:rsidRPr="002A2655">
        <w:rPr>
          <w:rFonts w:ascii="Roboto" w:hAnsi="Roboto"/>
          <w:b/>
          <w:bCs/>
          <w:color w:val="404040" w:themeColor="text1" w:themeTint="BF"/>
          <w:sz w:val="21"/>
          <w:szCs w:val="21"/>
          <w:lang w:val="en-GB"/>
        </w:rPr>
        <w:t>World Health Organization (WHO)</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through the Standard Basic Assistance Agreement between the </w:t>
      </w:r>
      <w:r>
        <w:rPr>
          <w:rFonts w:ascii="Roboto" w:hAnsi="Roboto"/>
          <w:color w:val="404040" w:themeColor="text1" w:themeTint="BF"/>
          <w:sz w:val="21"/>
          <w:szCs w:val="21"/>
          <w:lang w:val="en-GB"/>
        </w:rPr>
        <w:t>WHO</w:t>
      </w:r>
      <w:r w:rsidRPr="003C206F">
        <w:rPr>
          <w:rFonts w:ascii="Roboto" w:hAnsi="Roboto"/>
          <w:color w:val="404040" w:themeColor="text1" w:themeTint="BF"/>
          <w:sz w:val="21"/>
          <w:szCs w:val="21"/>
          <w:lang w:val="en-GB"/>
        </w:rPr>
        <w:t xml:space="preserve"> and the Government, </w:t>
      </w:r>
      <w:r>
        <w:rPr>
          <w:rFonts w:ascii="Roboto" w:hAnsi="Roboto"/>
          <w:color w:val="404040" w:themeColor="text1" w:themeTint="BF"/>
          <w:sz w:val="21"/>
          <w:szCs w:val="21"/>
          <w:lang w:val="en-GB"/>
        </w:rPr>
        <w:t xml:space="preserve">was </w:t>
      </w:r>
      <w:r w:rsidRPr="003C206F">
        <w:rPr>
          <w:rFonts w:ascii="Roboto" w:hAnsi="Roboto"/>
          <w:color w:val="404040" w:themeColor="text1" w:themeTint="BF"/>
          <w:sz w:val="21"/>
          <w:szCs w:val="21"/>
          <w:lang w:val="en-GB"/>
        </w:rPr>
        <w:t xml:space="preserve">signed and became effective on 6 September 1960. </w:t>
      </w:r>
    </w:p>
    <w:p w14:paraId="08EBB22C"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For all agencies: Assistance to the Government shall be made available and shall be furnished and received in accordance with the relevant and applicable resolutions and decisions of the competent UN system agency’s governing structures. </w:t>
      </w:r>
    </w:p>
    <w:p w14:paraId="551EF10A"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The COOPERATION FRAMEWORK will, in respect of each of the United Nations system agencies signing, be read, interpreted, and implemented in accordance with and in a manner that is consistent with the basic agreement between such United Nations system agency and the Host Government.</w:t>
      </w:r>
    </w:p>
    <w:p w14:paraId="1F11E92C"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The Government will honour its commitments in accordance with the provisions of the cooperation and assistance agreements outlined in </w:t>
      </w:r>
      <w:r>
        <w:rPr>
          <w:rFonts w:ascii="Roboto" w:hAnsi="Roboto"/>
          <w:color w:val="404040" w:themeColor="text1" w:themeTint="BF"/>
          <w:sz w:val="21"/>
          <w:szCs w:val="21"/>
          <w:lang w:val="en-GB"/>
        </w:rPr>
        <w:t xml:space="preserve">the </w:t>
      </w:r>
      <w:r w:rsidRPr="003C206F">
        <w:rPr>
          <w:rFonts w:ascii="Roboto" w:hAnsi="Roboto"/>
          <w:color w:val="404040" w:themeColor="text1" w:themeTint="BF"/>
          <w:sz w:val="21"/>
          <w:szCs w:val="21"/>
          <w:lang w:val="en-GB"/>
        </w:rPr>
        <w:t>paragraph on the Basis of the Relationship.</w:t>
      </w:r>
    </w:p>
    <w:p w14:paraId="0D2AFCFA"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Without prejudice to these agreements, the Government shall apply the respective provisions of the Convention on the Privileges and Immunities of the United Nations (the </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General Convention</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or the Convention on the Privileges and Immunities of the Specialized Agencies (the </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Specialized Agencies Convention</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to the Agencies’ property, funds, and assets and to their officials and experts on mission. The Government shall also accord to the Agencies and their officials and to other persons performing services on behalf of the Agencies, the privileges, immunities and facilities as set out in the cooperation and assistance agreements between the Agencies and the Government. In addition, it is understood that all United Nations Volunteers shall be assimilated to officials of the Agencies, entitled to the privileges and immunities accorded to such officials under the General Convention or the Specialized Agencies Convention. The Government will be responsible for dealing with any claims, which may be brought by third parties against any of the Agencies and their officials, experts on mission or other persons performing services on their </w:t>
      </w:r>
      <w:r w:rsidRPr="003C206F">
        <w:rPr>
          <w:rFonts w:ascii="Roboto" w:hAnsi="Roboto"/>
          <w:color w:val="404040" w:themeColor="text1" w:themeTint="BF"/>
          <w:sz w:val="21"/>
          <w:szCs w:val="21"/>
          <w:lang w:val="en-GB"/>
        </w:rPr>
        <w:lastRenderedPageBreak/>
        <w:t>behalf and shall hold them harmless in respect of any claims and liabilities resulting from operations under the cooperation and assistance agreements, except where it is any claims and liabilities resulting from operations under the cooperation and assistance agreements, except where it is mutually agreed by Government and a particular Agency that such claims and liabilities arise from gross negligence or misconduct of that Agency, or its officials, advisors or persons performing services.</w:t>
      </w:r>
    </w:p>
    <w:p w14:paraId="4537BAF1" w14:textId="77777777" w:rsidR="00757F1D" w:rsidRPr="003C206F" w:rsidRDefault="00757F1D" w:rsidP="00757F1D">
      <w:pPr>
        <w:pStyle w:val="NormalWeb"/>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Without prejudice to the generality of the foregoing, the Government shall insure or indemnify the Agencies from civil liability under the law of the country in respect of vehicles provided by the Agencies but under the control of or use by the Government.</w:t>
      </w:r>
    </w:p>
    <w:p w14:paraId="060B8B44" w14:textId="77777777" w:rsidR="00757F1D" w:rsidRPr="003C206F" w:rsidRDefault="00757F1D" w:rsidP="00757F1D">
      <w:pPr>
        <w:pStyle w:val="NormalWeb"/>
        <w:numPr>
          <w:ilvl w:val="0"/>
          <w:numId w:val="26"/>
        </w:numPr>
        <w:spacing w:before="240" w:beforeAutospacing="0"/>
        <w:jc w:val="both"/>
        <w:rPr>
          <w:rFonts w:ascii="Roboto" w:hAnsi="Roboto"/>
          <w:color w:val="404040" w:themeColor="text1" w:themeTint="BF"/>
          <w:sz w:val="21"/>
          <w:szCs w:val="21"/>
          <w:lang w:val="en-GB"/>
        </w:rPr>
      </w:pP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Nothing in this Agreement shall imply a waiver by the UN or any of its Agencies or Organizations of any privileges or immunities enjoyed by them or their acceptance of the jurisdiction of the courts of any country over disputes arising of this Agreement</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w:t>
      </w:r>
    </w:p>
    <w:p w14:paraId="6506A77C" w14:textId="03EA6FC5" w:rsidR="00871C7A" w:rsidRPr="003C206F" w:rsidRDefault="00757F1D" w:rsidP="00757F1D">
      <w:pPr>
        <w:pStyle w:val="NormalWeb"/>
        <w:numPr>
          <w:ilvl w:val="0"/>
          <w:numId w:val="26"/>
        </w:numPr>
        <w:spacing w:before="240" w:before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Nothing in or relating to this document will be deemed a waiver, expressed or implied, of the privileges and immunities of the United Nations and its subsidiary organs, including WFP, whether under the Convention on the Privileges and Immunities of the United Nations of 13th February 1946, the Convention on the Privileges and Immunities of the Specialized Agencies of 21</w:t>
      </w:r>
      <w:r w:rsidRPr="00E30648">
        <w:rPr>
          <w:rFonts w:ascii="Roboto" w:hAnsi="Roboto"/>
          <w:color w:val="404040" w:themeColor="text1" w:themeTint="BF"/>
          <w:sz w:val="21"/>
          <w:szCs w:val="21"/>
          <w:vertAlign w:val="superscript"/>
          <w:lang w:val="en-GB"/>
        </w:rPr>
        <w:t>st</w:t>
      </w:r>
      <w:r w:rsidRPr="003C206F">
        <w:rPr>
          <w:rFonts w:ascii="Roboto" w:hAnsi="Roboto"/>
          <w:color w:val="404040" w:themeColor="text1" w:themeTint="BF"/>
          <w:sz w:val="21"/>
          <w:szCs w:val="21"/>
          <w:lang w:val="en-GB"/>
        </w:rPr>
        <w:t xml:space="preserve"> November 1947, as applicable, and no provisions of this document or any Institutional Contract or any Undertaking will be interpreted or applied in a manner, or to an extent, inconsistent with such privileges and immunities.</w:t>
      </w:r>
    </w:p>
    <w:p w14:paraId="14BA7CAA" w14:textId="77777777" w:rsidR="00871C7A" w:rsidRPr="003C206F" w:rsidRDefault="00871C7A" w:rsidP="00764B23">
      <w:pPr>
        <w:rPr>
          <w:rFonts w:ascii="Roboto" w:hAnsi="Roboto"/>
          <w:b/>
          <w:bCs/>
          <w:color w:val="404040" w:themeColor="text1" w:themeTint="BF"/>
          <w:sz w:val="21"/>
          <w:szCs w:val="21"/>
          <w:lang w:val="en-GB"/>
        </w:rPr>
      </w:pPr>
    </w:p>
    <w:p w14:paraId="1BF802A8" w14:textId="77777777" w:rsidR="00871C7A" w:rsidRPr="003C206F" w:rsidRDefault="00871C7A">
      <w:pPr>
        <w:rPr>
          <w:rFonts w:ascii="Roboto" w:eastAsiaTheme="majorEastAsia" w:hAnsi="Roboto" w:cs="Calibri"/>
          <w:b/>
          <w:bCs/>
          <w:color w:val="404040" w:themeColor="text1" w:themeTint="BF"/>
          <w:sz w:val="28"/>
          <w:szCs w:val="28"/>
          <w:lang w:val="en-GB"/>
        </w:rPr>
      </w:pPr>
      <w:r w:rsidRPr="003C206F">
        <w:rPr>
          <w:rFonts w:ascii="Roboto" w:hAnsi="Roboto" w:cs="Calibri"/>
          <w:b/>
          <w:bCs/>
          <w:color w:val="404040" w:themeColor="text1" w:themeTint="BF"/>
          <w:sz w:val="28"/>
          <w:szCs w:val="28"/>
          <w:lang w:val="en-GB"/>
        </w:rPr>
        <w:br w:type="page"/>
      </w:r>
    </w:p>
    <w:p w14:paraId="0BB3741B" w14:textId="78BD0B18" w:rsidR="005A786E" w:rsidRPr="006812AD" w:rsidRDefault="005A786E" w:rsidP="005A786E">
      <w:pPr>
        <w:pStyle w:val="Heading1"/>
        <w:rPr>
          <w:rFonts w:ascii="Roboto" w:hAnsi="Roboto"/>
          <w:b/>
          <w:bCs/>
          <w:color w:val="4472C4" w:themeColor="accent1"/>
          <w:sz w:val="28"/>
          <w:szCs w:val="28"/>
          <w:lang w:val="en-GB"/>
        </w:rPr>
      </w:pPr>
      <w:bookmarkStart w:id="155" w:name="_Toc92277980"/>
      <w:bookmarkStart w:id="156" w:name="_Toc105333794"/>
      <w:r w:rsidRPr="006812AD">
        <w:rPr>
          <w:rFonts w:ascii="Roboto" w:hAnsi="Roboto" w:cs="Calibri"/>
          <w:b/>
          <w:bCs/>
          <w:color w:val="4472C4" w:themeColor="accent1"/>
          <w:sz w:val="28"/>
          <w:szCs w:val="28"/>
          <w:lang w:val="en-GB"/>
        </w:rPr>
        <w:lastRenderedPageBreak/>
        <w:t>Annex B. UNSDCF Strategic Priorities Areas – Detailed Breakdown</w:t>
      </w:r>
      <w:bookmarkEnd w:id="155"/>
      <w:bookmarkEnd w:id="156"/>
    </w:p>
    <w:p w14:paraId="7E79E66E" w14:textId="77777777" w:rsidR="005A786E" w:rsidRPr="00965BAA" w:rsidRDefault="005A786E" w:rsidP="005A786E">
      <w:pPr>
        <w:rPr>
          <w:rFonts w:ascii="Roboto" w:hAnsi="Roboto"/>
          <w:b/>
          <w:bCs/>
          <w:color w:val="404040" w:themeColor="text1" w:themeTint="BF"/>
          <w:sz w:val="21"/>
          <w:szCs w:val="21"/>
          <w:lang w:val="en-GB"/>
        </w:rPr>
      </w:pPr>
    </w:p>
    <w:p w14:paraId="2589F3C3" w14:textId="7AAB03D0"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s="Calibri"/>
          <w:color w:val="404040" w:themeColor="text1" w:themeTint="BF"/>
          <w:sz w:val="21"/>
          <w:szCs w:val="21"/>
          <w:lang w:val="en-GB"/>
        </w:rPr>
        <w:t xml:space="preserve">The UN in the KSA developed an Excel-based UNCT activity-level collection tool for the UNSDCF that first identifies the overlap between the development challenges and opportunities identified and linked by the </w:t>
      </w:r>
      <w:r w:rsidR="002704D0">
        <w:rPr>
          <w:rFonts w:ascii="Roboto" w:hAnsi="Roboto" w:cs="Calibri"/>
          <w:color w:val="404040" w:themeColor="text1" w:themeTint="BF"/>
          <w:sz w:val="21"/>
          <w:szCs w:val="21"/>
          <w:lang w:val="en-GB"/>
        </w:rPr>
        <w:t xml:space="preserve">UN’s </w:t>
      </w:r>
      <w:r w:rsidRPr="00965BAA">
        <w:rPr>
          <w:rFonts w:ascii="Roboto" w:hAnsi="Roboto" w:cs="Calibri"/>
          <w:color w:val="404040" w:themeColor="text1" w:themeTint="BF"/>
          <w:sz w:val="21"/>
          <w:szCs w:val="21"/>
          <w:lang w:val="en-GB"/>
        </w:rPr>
        <w:t xml:space="preserve">2030 Agenda and the KSA’s Vision 2030. The activity-level collection tool was created in collaboration with the UNCT, and the information corresponding to each activity was provided by each relevant UN Agencies, Funds, and Programmes (AFPs). The tool then uses the nomenclature of the ‘5Ps’ to articulate the four Strategic Priority Areas, which double as Outcomes. There are 17 total Outputs that correspond to the 17 SDGs. This UNSDCF relies on existing nomenclature so that more than one AFP can pursue activities within the same SDG/Output, paving the way for the UN Joint Workplan and the Monitoring and Evaluation Framework (MEF). </w:t>
      </w:r>
    </w:p>
    <w:p w14:paraId="38594599" w14:textId="77777777" w:rsidR="005A786E" w:rsidRPr="00965BAA" w:rsidRDefault="005A786E" w:rsidP="005A786E">
      <w:pPr>
        <w:rPr>
          <w:rFonts w:ascii="Roboto" w:hAnsi="Roboto"/>
          <w:color w:val="404040" w:themeColor="text1" w:themeTint="BF"/>
          <w:sz w:val="21"/>
          <w:szCs w:val="21"/>
          <w:lang w:val="en-GB"/>
        </w:rPr>
      </w:pPr>
    </w:p>
    <w:p w14:paraId="53CFDC8B" w14:textId="35593E0C"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s="Calibri"/>
          <w:color w:val="404040" w:themeColor="text1" w:themeTint="BF"/>
          <w:sz w:val="21"/>
          <w:szCs w:val="21"/>
          <w:lang w:val="en-GB"/>
        </w:rPr>
        <w:t xml:space="preserve">In addition, on the level of UN activities, this UNSDCF is </w:t>
      </w:r>
      <w:r w:rsidRPr="00965BAA">
        <w:rPr>
          <w:rFonts w:ascii="Roboto" w:hAnsi="Roboto"/>
          <w:color w:val="404040" w:themeColor="text1" w:themeTint="BF"/>
          <w:sz w:val="21"/>
          <w:szCs w:val="21"/>
          <w:lang w:val="en-GB"/>
        </w:rPr>
        <w:t xml:space="preserve">multidimensional </w:t>
      </w:r>
      <w:r w:rsidRPr="00965BAA">
        <w:rPr>
          <w:rFonts w:ascii="Roboto" w:hAnsi="Roboto" w:cs="Calibri"/>
          <w:color w:val="404040" w:themeColor="text1" w:themeTint="BF"/>
          <w:sz w:val="21"/>
          <w:szCs w:val="21"/>
          <w:lang w:val="en-GB"/>
        </w:rPr>
        <w:t xml:space="preserve">in both the </w:t>
      </w:r>
      <w:r w:rsidR="002704D0">
        <w:rPr>
          <w:rFonts w:ascii="Roboto" w:hAnsi="Roboto" w:cs="Calibri"/>
          <w:color w:val="404040" w:themeColor="text1" w:themeTint="BF"/>
          <w:sz w:val="21"/>
          <w:szCs w:val="21"/>
          <w:lang w:val="en-GB"/>
        </w:rPr>
        <w:t xml:space="preserve">UN’s </w:t>
      </w:r>
      <w:r w:rsidRPr="00965BAA">
        <w:rPr>
          <w:rFonts w:ascii="Roboto" w:hAnsi="Roboto" w:cs="Calibri"/>
          <w:color w:val="404040" w:themeColor="text1" w:themeTint="BF"/>
          <w:sz w:val="21"/>
          <w:szCs w:val="21"/>
          <w:lang w:val="en-GB"/>
        </w:rPr>
        <w:t>2030 Agenda and the KSA’s Vision 2030. It identifies linkages and cross-linkages that allow for valid aggregation of all UN work at the activity level. The aggregate system relied upon here is derived directly from the UN</w:t>
      </w:r>
      <w:r w:rsidR="002704D0">
        <w:rPr>
          <w:rFonts w:ascii="Roboto" w:hAnsi="Roboto" w:cs="Calibri"/>
          <w:color w:val="404040" w:themeColor="text1" w:themeTint="BF"/>
          <w:sz w:val="21"/>
          <w:szCs w:val="21"/>
          <w:lang w:val="en-GB"/>
        </w:rPr>
        <w:t>’s</w:t>
      </w:r>
      <w:r w:rsidRPr="00965BAA">
        <w:rPr>
          <w:rFonts w:ascii="Roboto" w:hAnsi="Roboto" w:cs="Calibri"/>
          <w:color w:val="404040" w:themeColor="text1" w:themeTint="BF"/>
          <w:sz w:val="21"/>
          <w:szCs w:val="21"/>
          <w:lang w:val="en-GB"/>
        </w:rPr>
        <w:t xml:space="preserve"> 2030 Agenda, utilizing the ‘5Ps’: People, Planet, Prosperity, Peace, and Partnership. The SDGs are mapped onto the ‘5Ps,’ and UN activities in the UNSDCF are regrouped accordingly, resulting in four Strategic Priority Areas — (1) People; (2) Planet; (3) Prosperity; and (4) Peace, Partnership, and Other Cross-Cutting Issues — and 17 Outputs that correspond to the 17 SDGs.</w:t>
      </w:r>
    </w:p>
    <w:p w14:paraId="684C91CB" w14:textId="77777777" w:rsidR="005A786E" w:rsidRPr="00965BAA" w:rsidRDefault="005A786E" w:rsidP="005A786E">
      <w:pPr>
        <w:rPr>
          <w:rFonts w:ascii="Roboto" w:hAnsi="Roboto"/>
          <w:color w:val="404040" w:themeColor="text1" w:themeTint="BF"/>
          <w:sz w:val="21"/>
          <w:szCs w:val="21"/>
          <w:lang w:val="en-GB"/>
        </w:rPr>
      </w:pPr>
    </w:p>
    <w:p w14:paraId="5C81F5A8" w14:textId="77777777" w:rsidR="005A786E" w:rsidRPr="00965BAA" w:rsidRDefault="005A786E" w:rsidP="005A786E">
      <w:pPr>
        <w:jc w:val="both"/>
        <w:rPr>
          <w:lang w:val="en-GB"/>
        </w:rPr>
      </w:pPr>
      <w:r w:rsidRPr="00965BAA">
        <w:rPr>
          <w:rFonts w:ascii="Roboto" w:hAnsi="Roboto" w:cs="Calibri"/>
          <w:color w:val="404040" w:themeColor="text1" w:themeTint="BF"/>
          <w:sz w:val="21"/>
          <w:szCs w:val="21"/>
          <w:lang w:val="en-GB"/>
        </w:rPr>
        <w:t xml:space="preserve">The following information in Tables </w:t>
      </w:r>
      <w:r>
        <w:rPr>
          <w:rFonts w:ascii="Roboto" w:hAnsi="Roboto" w:cs="Calibri"/>
          <w:color w:val="404040" w:themeColor="text1" w:themeTint="BF"/>
          <w:sz w:val="21"/>
          <w:szCs w:val="21"/>
          <w:lang w:val="en-GB"/>
        </w:rPr>
        <w:t>B</w:t>
      </w:r>
      <w:r w:rsidRPr="00965BAA">
        <w:rPr>
          <w:rFonts w:ascii="Roboto" w:hAnsi="Roboto" w:cs="Calibri"/>
          <w:color w:val="404040" w:themeColor="text1" w:themeTint="BF"/>
          <w:sz w:val="21"/>
          <w:szCs w:val="21"/>
          <w:lang w:val="en-GB"/>
        </w:rPr>
        <w:t>.1–</w:t>
      </w:r>
      <w:r>
        <w:rPr>
          <w:rFonts w:ascii="Roboto" w:hAnsi="Roboto" w:cs="Calibri"/>
          <w:color w:val="404040" w:themeColor="text1" w:themeTint="BF"/>
          <w:sz w:val="21"/>
          <w:szCs w:val="21"/>
          <w:lang w:val="en-GB"/>
        </w:rPr>
        <w:t>B</w:t>
      </w:r>
      <w:r w:rsidRPr="00965BAA">
        <w:rPr>
          <w:rFonts w:ascii="Roboto" w:hAnsi="Roboto" w:cs="Calibri"/>
          <w:color w:val="404040" w:themeColor="text1" w:themeTint="BF"/>
          <w:sz w:val="21"/>
          <w:szCs w:val="21"/>
          <w:lang w:val="en-GB"/>
        </w:rPr>
        <w:t>.6 is collected on the UN-activity level, with the UNCT activity-level collection tool already doubling as the basis of the UN Joint Workplan and the MEF.</w:t>
      </w:r>
    </w:p>
    <w:p w14:paraId="00BA10DE" w14:textId="77777777" w:rsidR="005A786E" w:rsidRPr="00965BAA" w:rsidRDefault="005A786E" w:rsidP="005A786E">
      <w:pPr>
        <w:jc w:val="both"/>
        <w:rPr>
          <w:lang w:val="en-GB"/>
        </w:rPr>
      </w:pPr>
    </w:p>
    <w:p w14:paraId="7D25B829" w14:textId="77777777" w:rsidR="005A786E" w:rsidRPr="00965BAA" w:rsidRDefault="005A786E" w:rsidP="005A786E">
      <w:pPr>
        <w:jc w:val="both"/>
        <w:rPr>
          <w:rFonts w:ascii="Roboto" w:hAnsi="Roboto"/>
          <w:color w:val="404040" w:themeColor="text1" w:themeTint="BF"/>
          <w:lang w:val="en-GB"/>
        </w:rPr>
      </w:pPr>
      <w:r w:rsidRPr="00965BAA">
        <w:rPr>
          <w:rFonts w:ascii="Roboto" w:hAnsi="Roboto" w:cs="Calibri"/>
          <w:color w:val="404040" w:themeColor="text1" w:themeTint="BF"/>
          <w:sz w:val="21"/>
          <w:szCs w:val="21"/>
          <w:lang w:val="en-GB"/>
        </w:rPr>
        <w:t xml:space="preserve">In terms of the SDGs, the UN Results Matrices below (Tables 2.1–2.4) crucially present the overview of all expected and known UN activities in the KSA for the 2022 to 2026 period. The Theories of Change for the Strategic Priority Areas flow directly from Annex </w:t>
      </w:r>
      <w:r>
        <w:rPr>
          <w:rFonts w:ascii="Roboto" w:hAnsi="Roboto" w:cs="Calibri"/>
          <w:color w:val="404040" w:themeColor="text1" w:themeTint="BF"/>
          <w:sz w:val="21"/>
          <w:szCs w:val="21"/>
          <w:lang w:val="en-GB"/>
        </w:rPr>
        <w:t>E</w:t>
      </w:r>
      <w:r w:rsidRPr="00965BAA">
        <w:rPr>
          <w:rFonts w:ascii="Roboto" w:hAnsi="Roboto" w:cs="Calibri"/>
          <w:color w:val="404040" w:themeColor="text1" w:themeTint="BF"/>
          <w:sz w:val="21"/>
          <w:szCs w:val="21"/>
          <w:lang w:val="en-GB"/>
        </w:rPr>
        <w:t xml:space="preserve"> and are described in greater detail below. The total number of UN activities amounts to 212, with a total cost estimate of $346,032,693 over the UNSDCF’s 2022 to 2026 period.</w:t>
      </w:r>
      <w:r w:rsidRPr="00965BAA">
        <w:rPr>
          <w:rFonts w:ascii="Roboto" w:hAnsi="Roboto" w:cs="Calibri"/>
          <w:color w:val="404040" w:themeColor="text1" w:themeTint="BF"/>
          <w:sz w:val="21"/>
          <w:szCs w:val="21"/>
          <w:vertAlign w:val="superscript"/>
          <w:lang w:val="en-GB"/>
        </w:rPr>
        <w:endnoteReference w:id="25"/>
      </w:r>
    </w:p>
    <w:p w14:paraId="2B1700D9" w14:textId="77777777" w:rsidR="005A786E" w:rsidRPr="00965BAA" w:rsidRDefault="005A786E" w:rsidP="005A786E">
      <w:pPr>
        <w:jc w:val="both"/>
        <w:rPr>
          <w:rFonts w:ascii="Roboto" w:hAnsi="Roboto"/>
          <w:color w:val="404040" w:themeColor="text1" w:themeTint="BF"/>
          <w:sz w:val="21"/>
          <w:szCs w:val="21"/>
          <w:lang w:val="en-GB"/>
        </w:rPr>
      </w:pPr>
    </w:p>
    <w:p w14:paraId="2C883EE7" w14:textId="77777777" w:rsidR="005A786E" w:rsidRPr="00965BAA" w:rsidRDefault="005A786E" w:rsidP="005A786E">
      <w:pPr>
        <w:jc w:val="both"/>
        <w:rPr>
          <w:rFonts w:ascii="Roboto" w:hAnsi="Roboto" w:cs="Calibri"/>
          <w:color w:val="404040" w:themeColor="text1" w:themeTint="BF"/>
          <w:sz w:val="21"/>
          <w:szCs w:val="21"/>
          <w:lang w:val="en-GB"/>
        </w:rPr>
      </w:pPr>
      <w:r w:rsidRPr="00965BAA">
        <w:rPr>
          <w:rFonts w:ascii="Roboto" w:hAnsi="Roboto" w:cs="Calibri"/>
          <w:color w:val="404040" w:themeColor="text1" w:themeTint="BF"/>
          <w:sz w:val="21"/>
          <w:szCs w:val="21"/>
          <w:lang w:val="en-GB"/>
        </w:rPr>
        <w:t xml:space="preserve">The Theory of Change for Strategic Priority Area 1 derives from SDGs 1–5, which double as Outputs. Towards ensuring that all human beings in the KSA are able to fulfil their potential in dignity, equity, and equality, 96 UN activities concurrently contribute to their related SDGs/Outputs, as detailed in Table 2.1 below. Streamlined according to the principles of LNOB – according to human rights considerations, vulnerable groups, and other UN markers – these activities will be measured in terms of their corresponding SDG/SDR indicators. Working backwards from the SDG/SDR indicators to be achieved in pursuit of SDGs 1–5, the Theory of Change for Strategic Priority Area 1 strives to support sustainable social transformation in the KSA. </w:t>
      </w:r>
    </w:p>
    <w:p w14:paraId="01E1F4FF" w14:textId="77777777" w:rsidR="005A786E" w:rsidRPr="00965BAA" w:rsidRDefault="005A786E" w:rsidP="005A786E">
      <w:pPr>
        <w:jc w:val="both"/>
        <w:rPr>
          <w:rFonts w:ascii="Roboto" w:hAnsi="Roboto" w:cs="Calibri"/>
          <w:color w:val="404040" w:themeColor="text1" w:themeTint="BF"/>
          <w:sz w:val="21"/>
          <w:szCs w:val="21"/>
          <w:lang w:val="en-GB"/>
        </w:rPr>
      </w:pPr>
    </w:p>
    <w:p w14:paraId="54807C47" w14:textId="77777777" w:rsidR="005A786E" w:rsidRPr="00965BAA" w:rsidRDefault="005A786E" w:rsidP="005A786E">
      <w:pPr>
        <w:jc w:val="both"/>
        <w:rPr>
          <w:rFonts w:ascii="Roboto" w:hAnsi="Roboto" w:cs="Calibri"/>
          <w:color w:val="404040" w:themeColor="text1" w:themeTint="BF"/>
          <w:sz w:val="21"/>
          <w:szCs w:val="21"/>
          <w:lang w:val="en-GB"/>
        </w:rPr>
      </w:pPr>
    </w:p>
    <w:p w14:paraId="602C9EFD" w14:textId="77777777" w:rsidR="005A786E" w:rsidRPr="00965BAA" w:rsidRDefault="005A786E" w:rsidP="005A786E">
      <w:pPr>
        <w:jc w:val="both"/>
        <w:rPr>
          <w:rFonts w:ascii="Roboto" w:hAnsi="Roboto" w:cs="Calibri"/>
          <w:color w:val="404040" w:themeColor="text1" w:themeTint="BF"/>
          <w:sz w:val="21"/>
          <w:szCs w:val="21"/>
          <w:lang w:val="en-GB"/>
        </w:rPr>
      </w:pPr>
    </w:p>
    <w:p w14:paraId="2ADC2FAC" w14:textId="77777777" w:rsidR="005A786E" w:rsidRPr="00965BAA" w:rsidRDefault="005A786E" w:rsidP="005A786E">
      <w:pPr>
        <w:jc w:val="both"/>
        <w:rPr>
          <w:rFonts w:ascii="Roboto" w:hAnsi="Roboto" w:cs="Calibri"/>
          <w:color w:val="404040" w:themeColor="text1" w:themeTint="BF"/>
          <w:sz w:val="21"/>
          <w:szCs w:val="21"/>
          <w:lang w:val="en-GB"/>
        </w:rPr>
      </w:pPr>
    </w:p>
    <w:p w14:paraId="5C1D9234" w14:textId="77777777" w:rsidR="005A786E" w:rsidRPr="00965BAA" w:rsidRDefault="005A786E" w:rsidP="005A786E">
      <w:pPr>
        <w:rPr>
          <w:rFonts w:ascii="Roboto" w:hAnsi="Roboto" w:cs="Calibri"/>
          <w:b/>
          <w:bCs/>
          <w:color w:val="404040" w:themeColor="text1" w:themeTint="BF"/>
          <w:sz w:val="21"/>
          <w:szCs w:val="21"/>
          <w:lang w:val="en-GB"/>
        </w:rPr>
      </w:pPr>
    </w:p>
    <w:p w14:paraId="757EC1FC" w14:textId="77777777" w:rsidR="005A786E" w:rsidRPr="00965BAA" w:rsidRDefault="005A786E" w:rsidP="005A786E">
      <w:r w:rsidRPr="00965BAA">
        <w:rPr>
          <w:b/>
          <w:bCs/>
          <w:caps/>
        </w:rPr>
        <w:br w:type="page"/>
      </w:r>
    </w:p>
    <w:tbl>
      <w:tblPr>
        <w:tblStyle w:val="PlainTable3"/>
        <w:tblW w:w="5307" w:type="pct"/>
        <w:jc w:val="center"/>
        <w:tblLook w:val="04A0" w:firstRow="1" w:lastRow="0" w:firstColumn="1" w:lastColumn="0" w:noHBand="0" w:noVBand="1"/>
      </w:tblPr>
      <w:tblGrid>
        <w:gridCol w:w="1264"/>
        <w:gridCol w:w="1065"/>
        <w:gridCol w:w="3199"/>
        <w:gridCol w:w="970"/>
        <w:gridCol w:w="1527"/>
        <w:gridCol w:w="1485"/>
      </w:tblGrid>
      <w:tr w:rsidR="005A786E" w:rsidRPr="00965BAA" w14:paraId="56811AAC" w14:textId="77777777" w:rsidTr="005A5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4" w:space="0" w:color="26BDE2"/>
              <w:left w:val="single" w:sz="24" w:space="0" w:color="26BDE2"/>
              <w:right w:val="single" w:sz="24" w:space="0" w:color="26BDE2"/>
            </w:tcBorders>
            <w:shd w:val="clear" w:color="auto" w:fill="26BDE2"/>
          </w:tcPr>
          <w:p w14:paraId="1AE4CC5F" w14:textId="77777777" w:rsidR="005A786E" w:rsidRPr="00965BAA" w:rsidRDefault="005A786E" w:rsidP="005A5556">
            <w:pPr>
              <w:spacing w:after="120"/>
              <w:ind w:left="144"/>
              <w:rPr>
                <w:rFonts w:ascii="Roboto" w:hAnsi="Roboto" w:cs="Calibri"/>
                <w:color w:val="FFFFFF" w:themeColor="background1"/>
                <w:sz w:val="22"/>
                <w:szCs w:val="22"/>
                <w:lang w:val="en-GB"/>
              </w:rPr>
            </w:pPr>
            <w:r w:rsidRPr="00965BAA">
              <w:rPr>
                <w:rFonts w:ascii="Roboto" w:hAnsi="Roboto" w:cs="Calibri"/>
                <w:color w:val="FFFFFF" w:themeColor="background1"/>
                <w:sz w:val="22"/>
                <w:szCs w:val="22"/>
                <w:lang w:val="en-GB"/>
              </w:rPr>
              <w:lastRenderedPageBreak/>
              <w:t xml:space="preserve">table </w:t>
            </w:r>
            <w:r>
              <w:rPr>
                <w:rFonts w:ascii="Roboto" w:hAnsi="Roboto" w:cs="Calibri"/>
                <w:color w:val="FFFFFF" w:themeColor="background1"/>
                <w:sz w:val="22"/>
                <w:szCs w:val="22"/>
                <w:lang w:val="en-GB"/>
              </w:rPr>
              <w:t>B</w:t>
            </w:r>
            <w:r w:rsidRPr="00965BAA">
              <w:rPr>
                <w:rFonts w:ascii="Roboto" w:hAnsi="Roboto" w:cs="Calibri"/>
                <w:color w:val="FFFFFF" w:themeColor="background1"/>
                <w:sz w:val="22"/>
                <w:szCs w:val="22"/>
                <w:lang w:val="en-GB"/>
              </w:rPr>
              <w:t xml:space="preserve">.1 results matrix for strategic priority area 1 (2022-2026) – People </w:t>
            </w:r>
          </w:p>
        </w:tc>
      </w:tr>
      <w:tr w:rsidR="005A786E" w:rsidRPr="00965BAA" w14:paraId="40BF60D4" w14:textId="77777777" w:rsidTr="005A5556">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31E9213C"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SDGs</w:t>
            </w:r>
          </w:p>
        </w:tc>
        <w:tc>
          <w:tcPr>
            <w:tcW w:w="560" w:type="pct"/>
            <w:noWrap/>
            <w:vAlign w:val="center"/>
            <w:hideMark/>
          </w:tcPr>
          <w:p w14:paraId="57ACD21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AFPs</w:t>
            </w:r>
          </w:p>
        </w:tc>
        <w:tc>
          <w:tcPr>
            <w:tcW w:w="1682" w:type="pct"/>
            <w:noWrap/>
            <w:vAlign w:val="center"/>
            <w:hideMark/>
          </w:tcPr>
          <w:p w14:paraId="1C04874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Partner(s)</w:t>
            </w:r>
          </w:p>
        </w:tc>
        <w:tc>
          <w:tcPr>
            <w:tcW w:w="510" w:type="pct"/>
            <w:vAlign w:val="center"/>
          </w:tcPr>
          <w:p w14:paraId="74C6C79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Vision (Level 2)</w:t>
            </w:r>
          </w:p>
        </w:tc>
        <w:tc>
          <w:tcPr>
            <w:tcW w:w="803" w:type="pct"/>
            <w:vAlign w:val="center"/>
            <w:hideMark/>
          </w:tcPr>
          <w:p w14:paraId="08E313E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Number of Activities</w:t>
            </w:r>
          </w:p>
        </w:tc>
        <w:tc>
          <w:tcPr>
            <w:tcW w:w="781" w:type="pct"/>
            <w:tcBorders>
              <w:right w:val="single" w:sz="24" w:space="0" w:color="26BDE2"/>
            </w:tcBorders>
            <w:vAlign w:val="center"/>
            <w:hideMark/>
          </w:tcPr>
          <w:p w14:paraId="0A7EE26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Total Estimated Cost</w:t>
            </w:r>
          </w:p>
        </w:tc>
      </w:tr>
      <w:tr w:rsidR="005A786E" w:rsidRPr="00965BAA" w14:paraId="3F26E439" w14:textId="77777777" w:rsidTr="005A5556">
        <w:trPr>
          <w:trHeight w:val="720"/>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08F28AB2"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 No Poverty</w:t>
            </w:r>
          </w:p>
          <w:p w14:paraId="5BBF94CC" w14:textId="77777777" w:rsidR="005A786E" w:rsidRPr="00965BAA" w:rsidRDefault="005A786E" w:rsidP="005A5556">
            <w:pPr>
              <w:jc w:val="center"/>
              <w:rPr>
                <w:rFonts w:ascii="Roboto" w:hAnsi="Roboto" w:cs="Calibri"/>
                <w:color w:val="404040" w:themeColor="text1" w:themeTint="BF"/>
                <w:sz w:val="19"/>
                <w:szCs w:val="19"/>
                <w:lang w:val="en-GB"/>
              </w:rPr>
            </w:pPr>
          </w:p>
        </w:tc>
        <w:tc>
          <w:tcPr>
            <w:tcW w:w="560" w:type="pct"/>
            <w:vAlign w:val="center"/>
            <w:hideMark/>
          </w:tcPr>
          <w:p w14:paraId="5FBC308C" w14:textId="77777777" w:rsidR="005A786E" w:rsidRPr="004505D1"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IOM, UN-Habitat, UNICEF</w:t>
            </w:r>
          </w:p>
        </w:tc>
        <w:tc>
          <w:tcPr>
            <w:tcW w:w="1682" w:type="pct"/>
            <w:hideMark/>
          </w:tcPr>
          <w:p w14:paraId="519F4DEA" w14:textId="77777777" w:rsidR="005A786E" w:rsidRPr="00965BAA" w:rsidRDefault="005A786E" w:rsidP="005A5556">
            <w:pPr>
              <w:spacing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Human Resources and Social Development, Ministry of Municipal, Rural Affairs, and Housing, Family Affairs Council, General Organization for Social Insurance, Ministry of Economy and Planning</w:t>
            </w:r>
          </w:p>
        </w:tc>
        <w:tc>
          <w:tcPr>
            <w:tcW w:w="510" w:type="pct"/>
            <w:vAlign w:val="center"/>
          </w:tcPr>
          <w:p w14:paraId="677CE8C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1.1, 1.3, 2.1, 2.6, 4.2, 4.3, 4.4, 5.1, 5.2, 6.1, 6.3</w:t>
            </w:r>
          </w:p>
        </w:tc>
        <w:tc>
          <w:tcPr>
            <w:tcW w:w="803" w:type="pct"/>
            <w:vAlign w:val="center"/>
            <w:hideMark/>
          </w:tcPr>
          <w:p w14:paraId="3DFB84F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7</w:t>
            </w:r>
          </w:p>
        </w:tc>
        <w:tc>
          <w:tcPr>
            <w:tcW w:w="781" w:type="pct"/>
            <w:tcBorders>
              <w:right w:val="single" w:sz="24" w:space="0" w:color="26BDE2"/>
            </w:tcBorders>
            <w:vAlign w:val="center"/>
            <w:hideMark/>
          </w:tcPr>
          <w:p w14:paraId="7528F409"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$1,887,900</w:t>
            </w:r>
          </w:p>
        </w:tc>
      </w:tr>
      <w:tr w:rsidR="005A786E" w:rsidRPr="00965BAA" w14:paraId="54650C6D" w14:textId="77777777" w:rsidTr="005A55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520E285C"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2: Zero Hunger</w:t>
            </w:r>
          </w:p>
        </w:tc>
        <w:tc>
          <w:tcPr>
            <w:tcW w:w="560" w:type="pct"/>
            <w:vAlign w:val="center"/>
            <w:hideMark/>
          </w:tcPr>
          <w:p w14:paraId="042F407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FAO, UNEP</w:t>
            </w:r>
          </w:p>
        </w:tc>
        <w:tc>
          <w:tcPr>
            <w:tcW w:w="1682" w:type="pct"/>
            <w:hideMark/>
          </w:tcPr>
          <w:p w14:paraId="23C8F66A" w14:textId="77777777" w:rsidR="005A786E" w:rsidRPr="00965BAA" w:rsidRDefault="005A786E" w:rsidP="005A5556">
            <w:pPr>
              <w:spacing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Environment, Water, and Agriculture, National Center of Wildlife</w:t>
            </w:r>
          </w:p>
        </w:tc>
        <w:tc>
          <w:tcPr>
            <w:tcW w:w="510" w:type="pct"/>
            <w:vAlign w:val="center"/>
          </w:tcPr>
          <w:p w14:paraId="6FA20A8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2.4, 4.2, 4.3, 5.4</w:t>
            </w:r>
          </w:p>
        </w:tc>
        <w:tc>
          <w:tcPr>
            <w:tcW w:w="803" w:type="pct"/>
            <w:vAlign w:val="center"/>
            <w:hideMark/>
          </w:tcPr>
          <w:p w14:paraId="367B154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8</w:t>
            </w:r>
          </w:p>
        </w:tc>
        <w:tc>
          <w:tcPr>
            <w:tcW w:w="781" w:type="pct"/>
            <w:tcBorders>
              <w:right w:val="single" w:sz="24" w:space="0" w:color="26BDE2"/>
            </w:tcBorders>
            <w:vAlign w:val="center"/>
            <w:hideMark/>
          </w:tcPr>
          <w:p w14:paraId="2AECAAE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$50,608,224</w:t>
            </w:r>
          </w:p>
        </w:tc>
      </w:tr>
      <w:tr w:rsidR="005A786E" w:rsidRPr="00965BAA" w14:paraId="6E91F19F" w14:textId="77777777" w:rsidTr="005A5556">
        <w:trPr>
          <w:trHeight w:val="2240"/>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439A8764"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3: Good Health &amp; Well-Being</w:t>
            </w:r>
          </w:p>
        </w:tc>
        <w:tc>
          <w:tcPr>
            <w:tcW w:w="560" w:type="pct"/>
            <w:vAlign w:val="center"/>
            <w:hideMark/>
          </w:tcPr>
          <w:p w14:paraId="1A48E05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IOM, OHCHR, UNDP, UNEP, UNFPA, UNHCR, UNICEF, UNODC, WHO</w:t>
            </w:r>
          </w:p>
        </w:tc>
        <w:tc>
          <w:tcPr>
            <w:tcW w:w="1682" w:type="pct"/>
            <w:hideMark/>
          </w:tcPr>
          <w:p w14:paraId="78D361B6" w14:textId="77777777" w:rsidR="005A786E" w:rsidRPr="00965BAA" w:rsidRDefault="005A786E" w:rsidP="005A5556">
            <w:pPr>
              <w:spacing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Health, Ministry of Human Resources and Social Development, Ministry of Education, Family Affairs Council, National Committee for Narcotics Control, Ministry of Interior, Ministry of Environment, Water, and Agriculture, Saudi Food and Drug Authority, National Committee for Mental Health Promotion, Saudi Human Rights Commission, General Authority for Statistics, National Center for Environmental Compliance, Ministry of Foreign Affairs, Ministry of Economy and Planning, Ministry of Transportation, Ministry of Energy, Saudi Health Council</w:t>
            </w:r>
          </w:p>
        </w:tc>
        <w:tc>
          <w:tcPr>
            <w:tcW w:w="510" w:type="pct"/>
            <w:vAlign w:val="center"/>
          </w:tcPr>
          <w:p w14:paraId="605889D6"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1.2, 2.1, 2.3, 2.4, 2.6, 3.3, 3.5, 4.1, 4.4, 5.2</w:t>
            </w:r>
          </w:p>
        </w:tc>
        <w:tc>
          <w:tcPr>
            <w:tcW w:w="803" w:type="pct"/>
            <w:vAlign w:val="center"/>
            <w:hideMark/>
          </w:tcPr>
          <w:p w14:paraId="3FACC75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39</w:t>
            </w:r>
          </w:p>
        </w:tc>
        <w:tc>
          <w:tcPr>
            <w:tcW w:w="781" w:type="pct"/>
            <w:tcBorders>
              <w:right w:val="single" w:sz="24" w:space="0" w:color="26BDE2"/>
            </w:tcBorders>
            <w:vAlign w:val="center"/>
            <w:hideMark/>
          </w:tcPr>
          <w:p w14:paraId="6268EE7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$34,254,462*</w:t>
            </w:r>
          </w:p>
        </w:tc>
      </w:tr>
      <w:tr w:rsidR="005A786E" w:rsidRPr="00965BAA" w14:paraId="79A0811A" w14:textId="77777777" w:rsidTr="005A5556">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6FEF5426"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4: Quality Education</w:t>
            </w:r>
          </w:p>
        </w:tc>
        <w:tc>
          <w:tcPr>
            <w:tcW w:w="560" w:type="pct"/>
            <w:vAlign w:val="center"/>
            <w:hideMark/>
          </w:tcPr>
          <w:p w14:paraId="4B7C2B84" w14:textId="77777777" w:rsidR="005A786E" w:rsidRPr="004505D1" w:rsidRDefault="005A786E"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IOM, OHCHR, UN-Habitat, UNCTAD UNESCO, UNICEF, UNODC, UNWTO</w:t>
            </w:r>
          </w:p>
        </w:tc>
        <w:tc>
          <w:tcPr>
            <w:tcW w:w="1682" w:type="pct"/>
            <w:hideMark/>
          </w:tcPr>
          <w:p w14:paraId="759E4E93" w14:textId="77777777" w:rsidR="005A786E" w:rsidRPr="00965BAA" w:rsidRDefault="005A786E" w:rsidP="005A5556">
            <w:pPr>
              <w:spacing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Family Affairs Council, Ministry of Human Resources and Social Development, Ministry of Education, Saudi Human Rights Commission, National Family Safety Program, Ministry of Municipal, Rural Affairs, and Housing, Ministry of Tourism, Sultan bin Abdulaziz Al Saud Foundation, Ministry of Culture, Ministry of Foreign Affairs, Ministry of Commerce, Ministry of Finance, Authority for Intellectual Property</w:t>
            </w:r>
          </w:p>
        </w:tc>
        <w:tc>
          <w:tcPr>
            <w:tcW w:w="510" w:type="pct"/>
            <w:vAlign w:val="center"/>
          </w:tcPr>
          <w:p w14:paraId="5539659F"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1.1, 1.3, 2.6, 3.3, 4.1, 4.2, 4.3, 4.4, 5.2, 6.1, 6.3</w:t>
            </w:r>
          </w:p>
        </w:tc>
        <w:tc>
          <w:tcPr>
            <w:tcW w:w="803" w:type="pct"/>
            <w:vAlign w:val="center"/>
            <w:hideMark/>
          </w:tcPr>
          <w:p w14:paraId="15FC674C"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27</w:t>
            </w:r>
          </w:p>
        </w:tc>
        <w:tc>
          <w:tcPr>
            <w:tcW w:w="781" w:type="pct"/>
            <w:tcBorders>
              <w:right w:val="single" w:sz="24" w:space="0" w:color="26BDE2"/>
            </w:tcBorders>
            <w:vAlign w:val="center"/>
            <w:hideMark/>
          </w:tcPr>
          <w:p w14:paraId="0F137C9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$10,612,666*</w:t>
            </w:r>
          </w:p>
        </w:tc>
      </w:tr>
      <w:tr w:rsidR="005A786E" w:rsidRPr="00965BAA" w14:paraId="503AB404" w14:textId="77777777" w:rsidTr="005A5556">
        <w:trPr>
          <w:trHeight w:val="720"/>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tcBorders>
            <w:vAlign w:val="center"/>
            <w:hideMark/>
          </w:tcPr>
          <w:p w14:paraId="1D85BC22"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5: Gender Equality</w:t>
            </w:r>
          </w:p>
        </w:tc>
        <w:tc>
          <w:tcPr>
            <w:tcW w:w="560" w:type="pct"/>
            <w:vAlign w:val="center"/>
            <w:hideMark/>
          </w:tcPr>
          <w:p w14:paraId="2E8F173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ILO, IOM, OHCHR, UN Women, UNDP, UNFPA, UNHCR, UNICEF, UNODC</w:t>
            </w:r>
          </w:p>
        </w:tc>
        <w:tc>
          <w:tcPr>
            <w:tcW w:w="1682" w:type="pct"/>
            <w:hideMark/>
          </w:tcPr>
          <w:p w14:paraId="427AF2B9" w14:textId="77777777" w:rsidR="005A786E" w:rsidRPr="00965BAA" w:rsidRDefault="005A786E" w:rsidP="005A5556">
            <w:pPr>
              <w:spacing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Human Resources and Social Development, National Family Safety Program, Saudi Human Rights Commission, Ministry of Justice, Ministry of Foreign Affairs, Ministry of Health, Ministry of Interior, Ministry of Education, Ministry of Tourism, Family Affairs Council, General Authority for Statistics, King Abdulaziz Center for National Dialogue, The Public Prosecution, AlJanoub Local Women NGO in Aseer</w:t>
            </w:r>
          </w:p>
        </w:tc>
        <w:tc>
          <w:tcPr>
            <w:tcW w:w="510" w:type="pct"/>
            <w:vAlign w:val="center"/>
          </w:tcPr>
          <w:p w14:paraId="01BE773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1.1, 1.3, 2.1, 2.3, 2.6, 4.1, 4.2, 4.3, 5.2, 6.3</w:t>
            </w:r>
          </w:p>
        </w:tc>
        <w:tc>
          <w:tcPr>
            <w:tcW w:w="803" w:type="pct"/>
            <w:vAlign w:val="center"/>
            <w:hideMark/>
          </w:tcPr>
          <w:p w14:paraId="02EFD11F"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17</w:t>
            </w:r>
          </w:p>
        </w:tc>
        <w:tc>
          <w:tcPr>
            <w:tcW w:w="781" w:type="pct"/>
            <w:tcBorders>
              <w:right w:val="single" w:sz="24" w:space="0" w:color="26BDE2"/>
            </w:tcBorders>
            <w:vAlign w:val="center"/>
            <w:hideMark/>
          </w:tcPr>
          <w:p w14:paraId="453653D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$12,220,496</w:t>
            </w:r>
          </w:p>
        </w:tc>
      </w:tr>
      <w:tr w:rsidR="005A786E" w:rsidRPr="00965BAA" w14:paraId="1C9A3235" w14:textId="77777777" w:rsidTr="005A55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64" w:type="pct"/>
            <w:tcBorders>
              <w:left w:val="single" w:sz="24" w:space="0" w:color="26BDE2"/>
              <w:bottom w:val="single" w:sz="24" w:space="0" w:color="26BDE2"/>
            </w:tcBorders>
            <w:vAlign w:val="center"/>
            <w:hideMark/>
          </w:tcPr>
          <w:p w14:paraId="7718E500"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Total</w:t>
            </w:r>
          </w:p>
        </w:tc>
        <w:tc>
          <w:tcPr>
            <w:tcW w:w="560" w:type="pct"/>
            <w:tcBorders>
              <w:bottom w:val="single" w:sz="24" w:space="0" w:color="26BDE2"/>
            </w:tcBorders>
            <w:noWrap/>
            <w:hideMark/>
          </w:tcPr>
          <w:p w14:paraId="1116324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1682" w:type="pct"/>
            <w:tcBorders>
              <w:bottom w:val="single" w:sz="24" w:space="0" w:color="26BDE2"/>
            </w:tcBorders>
            <w:noWrap/>
            <w:hideMark/>
          </w:tcPr>
          <w:p w14:paraId="1B92A7D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w:t>
            </w:r>
          </w:p>
        </w:tc>
        <w:tc>
          <w:tcPr>
            <w:tcW w:w="510" w:type="pct"/>
            <w:tcBorders>
              <w:bottom w:val="single" w:sz="24" w:space="0" w:color="26BDE2"/>
            </w:tcBorders>
          </w:tcPr>
          <w:p w14:paraId="643D3D0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803" w:type="pct"/>
            <w:tcBorders>
              <w:bottom w:val="single" w:sz="24" w:space="0" w:color="26BDE2"/>
            </w:tcBorders>
            <w:noWrap/>
            <w:vAlign w:val="center"/>
            <w:hideMark/>
          </w:tcPr>
          <w:p w14:paraId="1C5B9E5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98</w:t>
            </w:r>
          </w:p>
        </w:tc>
        <w:tc>
          <w:tcPr>
            <w:tcW w:w="781" w:type="pct"/>
            <w:tcBorders>
              <w:bottom w:val="single" w:sz="24" w:space="0" w:color="26BDE2"/>
              <w:right w:val="single" w:sz="24" w:space="0" w:color="26BDE2"/>
            </w:tcBorders>
            <w:noWrap/>
            <w:vAlign w:val="center"/>
            <w:hideMark/>
          </w:tcPr>
          <w:p w14:paraId="01D67D8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$109,583,748*</w:t>
            </w:r>
          </w:p>
        </w:tc>
      </w:tr>
    </w:tbl>
    <w:p w14:paraId="6284DB65" w14:textId="77777777" w:rsidR="005A786E" w:rsidRPr="00965BAA" w:rsidRDefault="005A786E" w:rsidP="005A786E">
      <w:pPr>
        <w:jc w:val="both"/>
        <w:rPr>
          <w:rFonts w:ascii="Roboto" w:hAnsi="Roboto"/>
          <w:color w:val="404040" w:themeColor="text1" w:themeTint="BF"/>
          <w:lang w:val="en-GB"/>
        </w:rPr>
      </w:pPr>
      <w:r w:rsidRPr="00965BAA">
        <w:rPr>
          <w:rFonts w:ascii="Roboto" w:hAnsi="Roboto"/>
          <w:color w:val="404040" w:themeColor="text1" w:themeTint="BF"/>
          <w:sz w:val="19"/>
          <w:szCs w:val="19"/>
          <w:lang w:val="en-GB"/>
        </w:rPr>
        <w:t>* Implies that an estimated cost was not provided by an AFP. In the case of WHO and UNWTO, no financial estimates were provided.</w:t>
      </w:r>
    </w:p>
    <w:p w14:paraId="1DE18EC1" w14:textId="77777777" w:rsidR="005A786E" w:rsidRPr="00965BAA" w:rsidRDefault="005A786E" w:rsidP="005A786E">
      <w:pPr>
        <w:jc w:val="both"/>
        <w:rPr>
          <w:rFonts w:ascii="Roboto" w:hAnsi="Roboto" w:cs="Calibri"/>
          <w:b/>
          <w:bCs/>
          <w:color w:val="404040" w:themeColor="text1" w:themeTint="BF"/>
          <w:sz w:val="22"/>
          <w:szCs w:val="22"/>
          <w:lang w:val="en-GB"/>
        </w:rPr>
      </w:pPr>
    </w:p>
    <w:p w14:paraId="712E4C84"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 xml:space="preserve">The 98 activities at the UN level that are associated with Strategic Priority Area 1 total an estimated financial commitment of $109,583,748. Sixteen AFPs have partnered with 27 Saudi organisations to address pressing issues pertinent to this domain. The largest proportion of UN activities in this Strategic Priority Area (40%) addresses SDG 3: Good Health and Well-Being, while the largest proportion of funds (49%) is dedicated to SDG 2: Zero Hunger. </w:t>
      </w:r>
    </w:p>
    <w:p w14:paraId="183A4BF5" w14:textId="77777777" w:rsidR="005A786E" w:rsidRPr="00965BAA" w:rsidRDefault="005A786E" w:rsidP="005A786E">
      <w:pPr>
        <w:jc w:val="both"/>
        <w:rPr>
          <w:rFonts w:ascii="Roboto" w:hAnsi="Roboto"/>
          <w:color w:val="404040" w:themeColor="text1" w:themeTint="BF"/>
          <w:sz w:val="21"/>
          <w:szCs w:val="21"/>
          <w:lang w:val="en-GB"/>
        </w:rPr>
      </w:pPr>
    </w:p>
    <w:p w14:paraId="0F80ADFB"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The Theory of Change for Strategic Priority Area 2 derives from SDGs 6 and 12–15, which double as Outputs. Designed to promote environmental protection and climate change adaptation, 14 UN activities concurrently contribute to their related SDGs/Outputs, as detailed in Table 2.2 below. These activities aim to protect the KSA’s environment from degradation and pivot Saudi consumption and production habits in a more sustainable direction by facilitating sustainable natural resource management and the KSA’s energy transition towards renewables. Further, investments in the green and blue economies play a large role in ensuring the resilience of underwater and terrestrial ecosystems.</w:t>
      </w:r>
      <w:r w:rsidRPr="00965BAA">
        <w:rPr>
          <w:rFonts w:ascii="Roboto" w:hAnsi="Roboto" w:cs="Calibri"/>
          <w:color w:val="404040" w:themeColor="text1" w:themeTint="BF"/>
          <w:sz w:val="21"/>
          <w:szCs w:val="21"/>
          <w:lang w:val="en-GB"/>
        </w:rPr>
        <w:t xml:space="preserve"> Streamlined according to the principles of LNOB – according to human rights considerations, vulnerable groups, and other UN markers – these activities will be measured in terms of their corresponding SDG/SDR indicators. Working backwards from the SDG/SDR indicators to be achieved in pursuit of SDGs 6 and 12–15, the Theory of Change for Strategic Priority Area 2 strives to support the KSA’s effort to combat climate change.</w:t>
      </w:r>
    </w:p>
    <w:p w14:paraId="569F1D98" w14:textId="77777777" w:rsidR="005A786E" w:rsidRPr="00965BAA" w:rsidRDefault="005A786E" w:rsidP="005A786E">
      <w:pPr>
        <w:rPr>
          <w:rFonts w:ascii="Roboto" w:hAnsi="Roboto"/>
          <w:b/>
          <w:bCs/>
          <w:color w:val="404040" w:themeColor="text1" w:themeTint="BF"/>
          <w:lang w:val="en-GB"/>
        </w:rPr>
      </w:pPr>
    </w:p>
    <w:tbl>
      <w:tblPr>
        <w:tblStyle w:val="PlainTable3"/>
        <w:tblW w:w="5307" w:type="pct"/>
        <w:jc w:val="center"/>
        <w:tblLayout w:type="fixed"/>
        <w:tblLook w:val="04A0" w:firstRow="1" w:lastRow="0" w:firstColumn="1" w:lastColumn="0" w:noHBand="0" w:noVBand="1"/>
      </w:tblPr>
      <w:tblGrid>
        <w:gridCol w:w="2227"/>
        <w:gridCol w:w="981"/>
        <w:gridCol w:w="2568"/>
        <w:gridCol w:w="1212"/>
        <w:gridCol w:w="1080"/>
        <w:gridCol w:w="1442"/>
      </w:tblGrid>
      <w:tr w:rsidR="005A786E" w:rsidRPr="00965BAA" w14:paraId="625C6F2B" w14:textId="77777777" w:rsidTr="005A5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4" w:space="0" w:color="FF3A21"/>
              <w:left w:val="single" w:sz="24" w:space="0" w:color="FF3A21"/>
              <w:right w:val="single" w:sz="24" w:space="0" w:color="FF3A21"/>
            </w:tcBorders>
            <w:shd w:val="clear" w:color="auto" w:fill="FF3A21"/>
          </w:tcPr>
          <w:p w14:paraId="313F3EE4" w14:textId="77777777" w:rsidR="005A786E" w:rsidRPr="00965BAA" w:rsidRDefault="005A786E" w:rsidP="005A5556">
            <w:pPr>
              <w:spacing w:before="120" w:after="120"/>
              <w:ind w:left="144"/>
              <w:rPr>
                <w:rFonts w:ascii="Roboto" w:hAnsi="Roboto" w:cs="Calibri"/>
                <w:color w:val="FFFFFF" w:themeColor="background1"/>
                <w:sz w:val="22"/>
                <w:szCs w:val="22"/>
                <w:lang w:val="en-GB"/>
              </w:rPr>
            </w:pPr>
            <w:r w:rsidRPr="00965BAA">
              <w:rPr>
                <w:rFonts w:ascii="Roboto" w:hAnsi="Roboto" w:cs="Calibri"/>
                <w:color w:val="FFFFFF" w:themeColor="background1"/>
                <w:sz w:val="22"/>
                <w:szCs w:val="22"/>
                <w:lang w:val="en-GB"/>
              </w:rPr>
              <w:t xml:space="preserve">Table </w:t>
            </w:r>
            <w:r>
              <w:rPr>
                <w:rFonts w:ascii="Roboto" w:hAnsi="Roboto" w:cs="Calibri"/>
                <w:color w:val="FFFFFF" w:themeColor="background1"/>
                <w:sz w:val="22"/>
                <w:szCs w:val="22"/>
                <w:lang w:val="en-GB"/>
              </w:rPr>
              <w:t>B</w:t>
            </w:r>
            <w:r w:rsidRPr="00965BAA">
              <w:rPr>
                <w:rFonts w:ascii="Roboto" w:hAnsi="Roboto" w:cs="Calibri"/>
                <w:color w:val="FFFFFF" w:themeColor="background1"/>
                <w:sz w:val="22"/>
                <w:szCs w:val="22"/>
                <w:lang w:val="en-GB"/>
              </w:rPr>
              <w:t>.2 Results matrix for strategic priority area 2 (2022-2026) – Planet</w:t>
            </w:r>
          </w:p>
        </w:tc>
      </w:tr>
      <w:tr w:rsidR="005A786E" w:rsidRPr="00965BAA" w14:paraId="17596BA8" w14:textId="77777777" w:rsidTr="005A5556">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0F21A342"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SDGs</w:t>
            </w:r>
          </w:p>
        </w:tc>
        <w:tc>
          <w:tcPr>
            <w:tcW w:w="516" w:type="pct"/>
            <w:noWrap/>
            <w:vAlign w:val="center"/>
            <w:hideMark/>
          </w:tcPr>
          <w:p w14:paraId="1880DE4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AFPs</w:t>
            </w:r>
          </w:p>
        </w:tc>
        <w:tc>
          <w:tcPr>
            <w:tcW w:w="1350" w:type="pct"/>
            <w:noWrap/>
            <w:vAlign w:val="center"/>
            <w:hideMark/>
          </w:tcPr>
          <w:p w14:paraId="22DB8E8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Partner(s)</w:t>
            </w:r>
          </w:p>
        </w:tc>
        <w:tc>
          <w:tcPr>
            <w:tcW w:w="637" w:type="pct"/>
            <w:vAlign w:val="center"/>
          </w:tcPr>
          <w:p w14:paraId="5BF790E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Vision (Level 2)</w:t>
            </w:r>
          </w:p>
        </w:tc>
        <w:tc>
          <w:tcPr>
            <w:tcW w:w="568" w:type="pct"/>
            <w:vAlign w:val="center"/>
            <w:hideMark/>
          </w:tcPr>
          <w:p w14:paraId="437DFEA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Number of Activities</w:t>
            </w:r>
          </w:p>
        </w:tc>
        <w:tc>
          <w:tcPr>
            <w:tcW w:w="758" w:type="pct"/>
            <w:tcBorders>
              <w:right w:val="single" w:sz="24" w:space="0" w:color="FF3A21"/>
            </w:tcBorders>
            <w:vAlign w:val="center"/>
            <w:hideMark/>
          </w:tcPr>
          <w:p w14:paraId="539F0A4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Total Estimated Cost</w:t>
            </w:r>
          </w:p>
        </w:tc>
      </w:tr>
      <w:tr w:rsidR="005A786E" w:rsidRPr="00965BAA" w14:paraId="7C49AC4A" w14:textId="77777777" w:rsidTr="005A5556">
        <w:trPr>
          <w:trHeight w:val="576"/>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5C83D22A"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6: Clean Water &amp; Sanitation</w:t>
            </w:r>
          </w:p>
        </w:tc>
        <w:tc>
          <w:tcPr>
            <w:tcW w:w="516" w:type="pct"/>
            <w:vAlign w:val="center"/>
            <w:hideMark/>
          </w:tcPr>
          <w:p w14:paraId="48226FB2"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FAO</w:t>
            </w:r>
          </w:p>
        </w:tc>
        <w:tc>
          <w:tcPr>
            <w:tcW w:w="1350" w:type="pct"/>
            <w:hideMark/>
          </w:tcPr>
          <w:p w14:paraId="6C23E2B8" w14:textId="77777777" w:rsidR="005A786E" w:rsidRPr="00965BAA" w:rsidRDefault="005A786E" w:rsidP="005A5556">
            <w:pPr>
              <w:spacing w:before="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Saudi Irrigation Organization</w:t>
            </w:r>
          </w:p>
        </w:tc>
        <w:tc>
          <w:tcPr>
            <w:tcW w:w="637" w:type="pct"/>
            <w:vAlign w:val="center"/>
          </w:tcPr>
          <w:p w14:paraId="37BD8BA1"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5.2, 5.4</w:t>
            </w:r>
          </w:p>
        </w:tc>
        <w:tc>
          <w:tcPr>
            <w:tcW w:w="568" w:type="pct"/>
            <w:vAlign w:val="center"/>
            <w:hideMark/>
          </w:tcPr>
          <w:p w14:paraId="7DA270C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w:t>
            </w:r>
          </w:p>
        </w:tc>
        <w:tc>
          <w:tcPr>
            <w:tcW w:w="758" w:type="pct"/>
            <w:tcBorders>
              <w:right w:val="single" w:sz="24" w:space="0" w:color="FF3A21"/>
            </w:tcBorders>
            <w:vAlign w:val="center"/>
            <w:hideMark/>
          </w:tcPr>
          <w:p w14:paraId="5BCDABEE"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$7,000,000</w:t>
            </w:r>
          </w:p>
        </w:tc>
      </w:tr>
      <w:tr w:rsidR="005A786E" w:rsidRPr="00965BAA" w14:paraId="0104EA50" w14:textId="77777777" w:rsidTr="005A5556">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31638320"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12: Responsible Consumption &amp; Production</w:t>
            </w:r>
          </w:p>
        </w:tc>
        <w:tc>
          <w:tcPr>
            <w:tcW w:w="516" w:type="pct"/>
            <w:vAlign w:val="center"/>
            <w:hideMark/>
          </w:tcPr>
          <w:p w14:paraId="51AA405C"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UN-Habitat, UNEP</w:t>
            </w:r>
          </w:p>
        </w:tc>
        <w:tc>
          <w:tcPr>
            <w:tcW w:w="1350" w:type="pct"/>
            <w:hideMark/>
          </w:tcPr>
          <w:p w14:paraId="0B73EC2E" w14:textId="77777777" w:rsidR="005A786E" w:rsidRPr="00965BAA" w:rsidRDefault="005A786E" w:rsidP="005A5556">
            <w:pPr>
              <w:spacing w:before="120"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Environment, Water, and Agriculture, National Center for Environmental Compliance, Ministry of Municipal, Rural Affairs, and Housing</w:t>
            </w:r>
          </w:p>
        </w:tc>
        <w:tc>
          <w:tcPr>
            <w:tcW w:w="637" w:type="pct"/>
            <w:vAlign w:val="center"/>
          </w:tcPr>
          <w:p w14:paraId="7938639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2.3, 2.4, 3.1, 5.2</w:t>
            </w:r>
          </w:p>
        </w:tc>
        <w:tc>
          <w:tcPr>
            <w:tcW w:w="568" w:type="pct"/>
            <w:noWrap/>
            <w:vAlign w:val="center"/>
            <w:hideMark/>
          </w:tcPr>
          <w:p w14:paraId="0352AC7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w:t>
            </w:r>
          </w:p>
        </w:tc>
        <w:tc>
          <w:tcPr>
            <w:tcW w:w="758" w:type="pct"/>
            <w:tcBorders>
              <w:right w:val="single" w:sz="24" w:space="0" w:color="FF3A21"/>
            </w:tcBorders>
            <w:noWrap/>
            <w:vAlign w:val="center"/>
            <w:hideMark/>
          </w:tcPr>
          <w:p w14:paraId="15AF4C0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$9,850,000</w:t>
            </w:r>
          </w:p>
        </w:tc>
      </w:tr>
      <w:tr w:rsidR="005A786E" w:rsidRPr="00965BAA" w14:paraId="77CB248F" w14:textId="77777777" w:rsidTr="005A5556">
        <w:trPr>
          <w:trHeight w:val="1280"/>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349DBEE7"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13: Climate Action</w:t>
            </w:r>
          </w:p>
        </w:tc>
        <w:tc>
          <w:tcPr>
            <w:tcW w:w="516" w:type="pct"/>
            <w:vAlign w:val="center"/>
            <w:hideMark/>
          </w:tcPr>
          <w:p w14:paraId="22B1747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UN-Habitat, UNDP</w:t>
            </w:r>
          </w:p>
        </w:tc>
        <w:tc>
          <w:tcPr>
            <w:tcW w:w="1350" w:type="pct"/>
            <w:hideMark/>
          </w:tcPr>
          <w:p w14:paraId="0CCDE8B1"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Municipal, Rural Affairs, and Housing, Ministry of Environment, Water, and Agriculture, Ministry of Transportation, Ministry of Energy</w:t>
            </w:r>
          </w:p>
        </w:tc>
        <w:tc>
          <w:tcPr>
            <w:tcW w:w="637" w:type="pct"/>
            <w:vAlign w:val="center"/>
          </w:tcPr>
          <w:p w14:paraId="526475E6"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1.3, 2.3, 2.4, 3.2</w:t>
            </w:r>
          </w:p>
        </w:tc>
        <w:tc>
          <w:tcPr>
            <w:tcW w:w="568" w:type="pct"/>
            <w:noWrap/>
            <w:vAlign w:val="center"/>
            <w:hideMark/>
          </w:tcPr>
          <w:p w14:paraId="730BE576"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4</w:t>
            </w:r>
          </w:p>
        </w:tc>
        <w:tc>
          <w:tcPr>
            <w:tcW w:w="758" w:type="pct"/>
            <w:tcBorders>
              <w:right w:val="single" w:sz="24" w:space="0" w:color="FF3A21"/>
            </w:tcBorders>
            <w:noWrap/>
            <w:vAlign w:val="center"/>
            <w:hideMark/>
          </w:tcPr>
          <w:p w14:paraId="2A6ECD6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$12,700,000</w:t>
            </w:r>
          </w:p>
        </w:tc>
      </w:tr>
      <w:tr w:rsidR="005A786E" w:rsidRPr="00965BAA" w14:paraId="15AEC09C" w14:textId="77777777" w:rsidTr="005A5556">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474685F9" w14:textId="77777777" w:rsidR="005A786E" w:rsidRPr="00965BAA" w:rsidRDefault="005A786E" w:rsidP="005A5556">
            <w:pPr>
              <w:jc w:val="center"/>
              <w:rPr>
                <w:rFonts w:ascii="Roboto" w:hAnsi="Roboto" w:cs="Calibri"/>
                <w:color w:val="404040" w:themeColor="text1" w:themeTint="BF"/>
                <w:sz w:val="19"/>
                <w:szCs w:val="19"/>
                <w:lang w:val="en-GB"/>
              </w:rPr>
            </w:pPr>
          </w:p>
          <w:p w14:paraId="778E7D64"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14: Life Below Water</w:t>
            </w:r>
          </w:p>
          <w:p w14:paraId="306D60A9" w14:textId="77777777" w:rsidR="005A786E" w:rsidRPr="00965BAA" w:rsidRDefault="005A786E" w:rsidP="005A5556">
            <w:pPr>
              <w:jc w:val="center"/>
              <w:rPr>
                <w:rFonts w:ascii="Roboto" w:hAnsi="Roboto" w:cs="Calibri"/>
                <w:color w:val="404040" w:themeColor="text1" w:themeTint="BF"/>
                <w:sz w:val="19"/>
                <w:szCs w:val="19"/>
                <w:lang w:val="en-GB"/>
              </w:rPr>
            </w:pPr>
          </w:p>
          <w:p w14:paraId="6F220CA2" w14:textId="77777777" w:rsidR="005A786E" w:rsidRPr="00965BAA" w:rsidRDefault="005A786E" w:rsidP="005A5556">
            <w:pPr>
              <w:jc w:val="center"/>
              <w:rPr>
                <w:rFonts w:ascii="Roboto" w:hAnsi="Roboto" w:cs="Calibri"/>
                <w:color w:val="404040" w:themeColor="text1" w:themeTint="BF"/>
                <w:sz w:val="19"/>
                <w:szCs w:val="19"/>
                <w:lang w:val="en-GB"/>
              </w:rPr>
            </w:pPr>
          </w:p>
        </w:tc>
        <w:tc>
          <w:tcPr>
            <w:tcW w:w="516" w:type="pct"/>
            <w:vAlign w:val="center"/>
            <w:hideMark/>
          </w:tcPr>
          <w:p w14:paraId="084B898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FAO</w:t>
            </w:r>
          </w:p>
        </w:tc>
        <w:tc>
          <w:tcPr>
            <w:tcW w:w="1350" w:type="pct"/>
            <w:vAlign w:val="center"/>
            <w:hideMark/>
          </w:tcPr>
          <w:p w14:paraId="54E6EE0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Environment, Water, and Agriculture</w:t>
            </w:r>
          </w:p>
        </w:tc>
        <w:tc>
          <w:tcPr>
            <w:tcW w:w="637" w:type="pct"/>
            <w:vAlign w:val="center"/>
          </w:tcPr>
          <w:p w14:paraId="3A459BE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4.2, 4.3, &amp; 5.4</w:t>
            </w:r>
          </w:p>
        </w:tc>
        <w:tc>
          <w:tcPr>
            <w:tcW w:w="568" w:type="pct"/>
            <w:vAlign w:val="center"/>
            <w:hideMark/>
          </w:tcPr>
          <w:p w14:paraId="1B7A598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w:t>
            </w:r>
          </w:p>
        </w:tc>
        <w:tc>
          <w:tcPr>
            <w:tcW w:w="758" w:type="pct"/>
            <w:tcBorders>
              <w:right w:val="single" w:sz="24" w:space="0" w:color="FF3A21"/>
            </w:tcBorders>
            <w:vAlign w:val="center"/>
            <w:hideMark/>
          </w:tcPr>
          <w:p w14:paraId="3FC8CEB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$5,200,000</w:t>
            </w:r>
          </w:p>
        </w:tc>
      </w:tr>
      <w:tr w:rsidR="005A786E" w:rsidRPr="00965BAA" w14:paraId="19BBBB7F" w14:textId="77777777" w:rsidTr="005A5556">
        <w:trPr>
          <w:trHeight w:val="864"/>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tcBorders>
            <w:vAlign w:val="center"/>
            <w:hideMark/>
          </w:tcPr>
          <w:p w14:paraId="6C1FE5C1"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15: Life On Land</w:t>
            </w:r>
          </w:p>
        </w:tc>
        <w:tc>
          <w:tcPr>
            <w:tcW w:w="516" w:type="pct"/>
            <w:vAlign w:val="center"/>
            <w:hideMark/>
          </w:tcPr>
          <w:p w14:paraId="1EBE0916"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FAO, UNDP, UNESCO</w:t>
            </w:r>
          </w:p>
        </w:tc>
        <w:tc>
          <w:tcPr>
            <w:tcW w:w="1350" w:type="pct"/>
            <w:hideMark/>
          </w:tcPr>
          <w:p w14:paraId="7B6F6116"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Environment, Water, and Agriculture, National Center of Wildlife, Saudi Heritage Preservation Society</w:t>
            </w:r>
          </w:p>
        </w:tc>
        <w:tc>
          <w:tcPr>
            <w:tcW w:w="637" w:type="pct"/>
            <w:vAlign w:val="center"/>
          </w:tcPr>
          <w:p w14:paraId="7AEC8FD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2.4, 5.2</w:t>
            </w:r>
          </w:p>
        </w:tc>
        <w:tc>
          <w:tcPr>
            <w:tcW w:w="568" w:type="pct"/>
            <w:vAlign w:val="center"/>
            <w:hideMark/>
          </w:tcPr>
          <w:p w14:paraId="6057E95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w:t>
            </w:r>
          </w:p>
        </w:tc>
        <w:tc>
          <w:tcPr>
            <w:tcW w:w="758" w:type="pct"/>
            <w:tcBorders>
              <w:right w:val="single" w:sz="24" w:space="0" w:color="FF3A21"/>
            </w:tcBorders>
            <w:vAlign w:val="center"/>
            <w:hideMark/>
          </w:tcPr>
          <w:p w14:paraId="279EFF7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$30,650,000</w:t>
            </w:r>
          </w:p>
        </w:tc>
      </w:tr>
      <w:tr w:rsidR="005A786E" w:rsidRPr="00965BAA" w14:paraId="3E152DE4" w14:textId="77777777" w:rsidTr="005A55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71" w:type="pct"/>
            <w:tcBorders>
              <w:left w:val="single" w:sz="24" w:space="0" w:color="FF3A21"/>
              <w:bottom w:val="single" w:sz="24" w:space="0" w:color="FF3A21"/>
            </w:tcBorders>
            <w:vAlign w:val="center"/>
            <w:hideMark/>
          </w:tcPr>
          <w:p w14:paraId="5214B840"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Total</w:t>
            </w:r>
          </w:p>
        </w:tc>
        <w:tc>
          <w:tcPr>
            <w:tcW w:w="516" w:type="pct"/>
            <w:tcBorders>
              <w:bottom w:val="single" w:sz="24" w:space="0" w:color="FF3A21"/>
            </w:tcBorders>
            <w:noWrap/>
            <w:vAlign w:val="center"/>
            <w:hideMark/>
          </w:tcPr>
          <w:p w14:paraId="7FED432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1350" w:type="pct"/>
            <w:tcBorders>
              <w:bottom w:val="single" w:sz="24" w:space="0" w:color="FF3A21"/>
            </w:tcBorders>
            <w:noWrap/>
            <w:hideMark/>
          </w:tcPr>
          <w:p w14:paraId="4C36B33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637" w:type="pct"/>
            <w:tcBorders>
              <w:bottom w:val="single" w:sz="24" w:space="0" w:color="FF3A21"/>
            </w:tcBorders>
            <w:vAlign w:val="center"/>
          </w:tcPr>
          <w:p w14:paraId="69873DA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568" w:type="pct"/>
            <w:tcBorders>
              <w:bottom w:val="single" w:sz="24" w:space="0" w:color="FF3A21"/>
            </w:tcBorders>
            <w:noWrap/>
            <w:vAlign w:val="center"/>
            <w:hideMark/>
          </w:tcPr>
          <w:p w14:paraId="0454C0E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14</w:t>
            </w:r>
          </w:p>
        </w:tc>
        <w:tc>
          <w:tcPr>
            <w:tcW w:w="758" w:type="pct"/>
            <w:tcBorders>
              <w:bottom w:val="single" w:sz="24" w:space="0" w:color="FF3A21"/>
              <w:right w:val="single" w:sz="24" w:space="0" w:color="FF3A21"/>
            </w:tcBorders>
            <w:noWrap/>
            <w:vAlign w:val="center"/>
            <w:hideMark/>
          </w:tcPr>
          <w:p w14:paraId="42792F3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$65,400,000</w:t>
            </w:r>
          </w:p>
        </w:tc>
      </w:tr>
    </w:tbl>
    <w:p w14:paraId="4D8E66A8" w14:textId="77777777" w:rsidR="005A786E" w:rsidRPr="00965BAA" w:rsidRDefault="005A786E" w:rsidP="005A786E">
      <w:pPr>
        <w:rPr>
          <w:rFonts w:ascii="Roboto" w:hAnsi="Roboto"/>
          <w:color w:val="404040" w:themeColor="text1" w:themeTint="BF"/>
          <w:lang w:val="en-GB"/>
        </w:rPr>
      </w:pPr>
    </w:p>
    <w:p w14:paraId="6B052B46"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 xml:space="preserve">The 14 activities at the UN level associated with Strategic Priority Area 2 total an estimated financial commitment of $65,400,000. Five AFPs have partnered with eight Saudi organisations to address pressing issues pertinent to this domain. The largest proportion of UN activities in this </w:t>
      </w:r>
      <w:r w:rsidRPr="00965BAA">
        <w:rPr>
          <w:rFonts w:ascii="Roboto" w:hAnsi="Roboto"/>
          <w:color w:val="404040" w:themeColor="text1" w:themeTint="BF"/>
          <w:sz w:val="21"/>
          <w:szCs w:val="21"/>
          <w:lang w:val="en-GB"/>
        </w:rPr>
        <w:lastRenderedPageBreak/>
        <w:t xml:space="preserve">Strategic Priority Area (38%) addresses SDG 12: Responsible Consumption and Production, while the largest proportion of funds (51%) is dedicated to SDG 15: Life on Land. </w:t>
      </w:r>
    </w:p>
    <w:p w14:paraId="4059FA04" w14:textId="77777777" w:rsidR="005A786E" w:rsidRPr="00965BAA" w:rsidRDefault="005A786E" w:rsidP="005A786E">
      <w:pPr>
        <w:jc w:val="both"/>
        <w:rPr>
          <w:rFonts w:ascii="Roboto" w:hAnsi="Roboto"/>
          <w:color w:val="404040" w:themeColor="text1" w:themeTint="BF"/>
          <w:sz w:val="21"/>
          <w:szCs w:val="21"/>
          <w:lang w:val="en-GB"/>
        </w:rPr>
      </w:pPr>
    </w:p>
    <w:p w14:paraId="56D94059" w14:textId="77777777" w:rsidR="005A786E" w:rsidRDefault="005A786E" w:rsidP="005A786E">
      <w:pPr>
        <w:jc w:val="both"/>
        <w:rPr>
          <w:rFonts w:ascii="Roboto" w:hAnsi="Roboto" w:cs="Calibri"/>
          <w:color w:val="404040" w:themeColor="text1" w:themeTint="BF"/>
          <w:sz w:val="21"/>
          <w:szCs w:val="21"/>
          <w:lang w:val="en-GB"/>
        </w:rPr>
      </w:pPr>
      <w:r w:rsidRPr="00965BAA">
        <w:rPr>
          <w:rFonts w:ascii="Roboto" w:hAnsi="Roboto"/>
          <w:color w:val="404040" w:themeColor="text1" w:themeTint="BF"/>
          <w:sz w:val="21"/>
          <w:szCs w:val="21"/>
          <w:lang w:val="en-GB"/>
        </w:rPr>
        <w:t>The Theory of Change for Strategic Priority Area 3 derives from SDGs 7–11, which double as Outputs. Designed to promote economic transformation, 70 UN activities concurrently contribute to their related SDGs/Outputs, as detailed in Table 2.3 below. These activities aim to diversify economic activities in the KSA towards a sustainable future and ensure that all individuals in Saudi society can economically prosper and enjoy fulfilling lives.</w:t>
      </w:r>
      <w:r w:rsidRPr="00965BAA">
        <w:rPr>
          <w:rFonts w:ascii="Roboto" w:hAnsi="Roboto" w:cs="Calibri"/>
          <w:color w:val="404040" w:themeColor="text1" w:themeTint="BF"/>
          <w:sz w:val="21"/>
          <w:szCs w:val="21"/>
          <w:lang w:val="en-GB"/>
        </w:rPr>
        <w:t xml:space="preserve"> Streamlined according to the principles of LNOB – according to human rights considerations, vulnerable groups, and other UN markers – these activities will be measured in terms of their corresponding SDG/SDR indicators. Working backwards from the SDG/SDR indicators to be achieved in pursuit of SDGs 7–11, the Theory of Change for Strategic Priority Area 3 strives to support the KSA’s effort to bring prosperity to all members of its society.</w:t>
      </w:r>
    </w:p>
    <w:p w14:paraId="67866874" w14:textId="77777777" w:rsidR="005A786E" w:rsidRDefault="005A786E" w:rsidP="005A786E">
      <w:pPr>
        <w:jc w:val="both"/>
        <w:rPr>
          <w:rFonts w:ascii="Roboto" w:hAnsi="Roboto" w:cs="Calibri"/>
          <w:color w:val="404040" w:themeColor="text1" w:themeTint="BF"/>
          <w:sz w:val="21"/>
          <w:szCs w:val="21"/>
          <w:lang w:val="en-GB"/>
        </w:rPr>
      </w:pPr>
    </w:p>
    <w:p w14:paraId="2A6206FA" w14:textId="77777777" w:rsidR="005A786E" w:rsidRPr="00965BAA" w:rsidRDefault="005A786E" w:rsidP="005A786E">
      <w:pPr>
        <w:spacing w:before="120" w:after="120"/>
        <w:ind w:left="144"/>
        <w:rPr>
          <w:rFonts w:ascii="Roboto" w:hAnsi="Roboto" w:cs="Calibri"/>
          <w:b/>
          <w:bCs/>
          <w:caps/>
          <w:color w:val="FFFFFF" w:themeColor="background1"/>
          <w:sz w:val="22"/>
          <w:szCs w:val="22"/>
          <w:lang w:val="en-GB"/>
        </w:rPr>
        <w:sectPr w:rsidR="005A786E" w:rsidRPr="00965BAA" w:rsidSect="00965BAA">
          <w:pgSz w:w="11900" w:h="16820"/>
          <w:pgMar w:top="1440" w:right="1440" w:bottom="1440" w:left="1440" w:header="720" w:footer="720" w:gutter="0"/>
          <w:cols w:space="720"/>
          <w:noEndnote/>
          <w:docGrid w:linePitch="360"/>
        </w:sectPr>
      </w:pPr>
    </w:p>
    <w:tbl>
      <w:tblPr>
        <w:tblStyle w:val="PlainTable3"/>
        <w:tblW w:w="5257" w:type="pct"/>
        <w:jc w:val="center"/>
        <w:tblLayout w:type="fixed"/>
        <w:tblLook w:val="04A0" w:firstRow="1" w:lastRow="0" w:firstColumn="1" w:lastColumn="0" w:noHBand="0" w:noVBand="1"/>
      </w:tblPr>
      <w:tblGrid>
        <w:gridCol w:w="1542"/>
        <w:gridCol w:w="1034"/>
        <w:gridCol w:w="3197"/>
        <w:gridCol w:w="943"/>
        <w:gridCol w:w="1090"/>
        <w:gridCol w:w="1624"/>
      </w:tblGrid>
      <w:tr w:rsidR="005A786E" w:rsidRPr="00965BAA" w14:paraId="13FF8794" w14:textId="77777777" w:rsidTr="005A5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4" w:space="0" w:color="4C9F38"/>
              <w:left w:val="single" w:sz="24" w:space="0" w:color="4C9F38"/>
              <w:right w:val="single" w:sz="24" w:space="0" w:color="4C9F38"/>
            </w:tcBorders>
            <w:shd w:val="clear" w:color="auto" w:fill="4C9F38"/>
            <w:vAlign w:val="center"/>
          </w:tcPr>
          <w:p w14:paraId="0DB280B0" w14:textId="77777777" w:rsidR="005A786E" w:rsidRPr="00965BAA" w:rsidRDefault="005A786E" w:rsidP="005A5556">
            <w:pPr>
              <w:spacing w:before="120" w:after="120"/>
              <w:ind w:left="144"/>
              <w:rPr>
                <w:rFonts w:ascii="Roboto" w:hAnsi="Roboto"/>
                <w:color w:val="FFFFFF" w:themeColor="background1"/>
                <w:sz w:val="22"/>
                <w:szCs w:val="22"/>
                <w:lang w:val="en-GB"/>
              </w:rPr>
            </w:pPr>
            <w:r w:rsidRPr="00965BAA">
              <w:rPr>
                <w:rFonts w:ascii="Roboto" w:hAnsi="Roboto" w:cs="Calibri"/>
                <w:color w:val="FFFFFF" w:themeColor="background1"/>
                <w:sz w:val="22"/>
                <w:szCs w:val="22"/>
                <w:lang w:val="en-GB"/>
              </w:rPr>
              <w:lastRenderedPageBreak/>
              <w:t xml:space="preserve">Table </w:t>
            </w:r>
            <w:r>
              <w:rPr>
                <w:rFonts w:ascii="Roboto" w:hAnsi="Roboto" w:cs="Calibri"/>
                <w:color w:val="FFFFFF" w:themeColor="background1"/>
                <w:sz w:val="22"/>
                <w:szCs w:val="22"/>
                <w:lang w:val="en-GB"/>
              </w:rPr>
              <w:t>B</w:t>
            </w:r>
            <w:r w:rsidRPr="00965BAA">
              <w:rPr>
                <w:rFonts w:ascii="Roboto" w:hAnsi="Roboto" w:cs="Calibri"/>
                <w:color w:val="FFFFFF" w:themeColor="background1"/>
                <w:sz w:val="22"/>
                <w:szCs w:val="22"/>
                <w:lang w:val="en-GB"/>
              </w:rPr>
              <w:t>.3 Results Matrix FOR Strategic Priority Area 3 (2022-2026) – Prosperity</w:t>
            </w:r>
          </w:p>
        </w:tc>
      </w:tr>
      <w:tr w:rsidR="005A786E" w:rsidRPr="00965BAA" w14:paraId="37B84154" w14:textId="77777777" w:rsidTr="005A5556">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4D00EF9D"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SDGs</w:t>
            </w:r>
          </w:p>
        </w:tc>
        <w:tc>
          <w:tcPr>
            <w:tcW w:w="548" w:type="pct"/>
            <w:noWrap/>
            <w:vAlign w:val="center"/>
            <w:hideMark/>
          </w:tcPr>
          <w:p w14:paraId="37F5326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AFPs</w:t>
            </w:r>
          </w:p>
        </w:tc>
        <w:tc>
          <w:tcPr>
            <w:tcW w:w="1695" w:type="pct"/>
            <w:noWrap/>
            <w:vAlign w:val="center"/>
            <w:hideMark/>
          </w:tcPr>
          <w:p w14:paraId="549A6CA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Partner(s)</w:t>
            </w:r>
          </w:p>
        </w:tc>
        <w:tc>
          <w:tcPr>
            <w:tcW w:w="500" w:type="pct"/>
            <w:vAlign w:val="center"/>
          </w:tcPr>
          <w:p w14:paraId="434661F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Vision (Level 2)</w:t>
            </w:r>
          </w:p>
        </w:tc>
        <w:tc>
          <w:tcPr>
            <w:tcW w:w="578" w:type="pct"/>
            <w:vAlign w:val="center"/>
            <w:hideMark/>
          </w:tcPr>
          <w:p w14:paraId="7E27FAE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Number of Activities</w:t>
            </w:r>
          </w:p>
        </w:tc>
        <w:tc>
          <w:tcPr>
            <w:tcW w:w="861" w:type="pct"/>
            <w:tcBorders>
              <w:right w:val="single" w:sz="24" w:space="0" w:color="4C9F38"/>
            </w:tcBorders>
            <w:vAlign w:val="center"/>
            <w:hideMark/>
          </w:tcPr>
          <w:p w14:paraId="5ED1F53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Total Estimated Cost</w:t>
            </w:r>
          </w:p>
        </w:tc>
      </w:tr>
      <w:tr w:rsidR="005A786E" w:rsidRPr="00965BAA" w14:paraId="01C0EDF2" w14:textId="77777777" w:rsidTr="005A5556">
        <w:trPr>
          <w:trHeight w:val="432"/>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32AEF5E7"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7: Affordable &amp; Clean Energy</w:t>
            </w:r>
          </w:p>
        </w:tc>
        <w:tc>
          <w:tcPr>
            <w:tcW w:w="548" w:type="pct"/>
            <w:vAlign w:val="center"/>
            <w:hideMark/>
          </w:tcPr>
          <w:p w14:paraId="7D1C763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UNDP</w:t>
            </w:r>
          </w:p>
        </w:tc>
        <w:tc>
          <w:tcPr>
            <w:tcW w:w="1695" w:type="pct"/>
            <w:hideMark/>
          </w:tcPr>
          <w:p w14:paraId="47EFC08C"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Municipal, Rural Affairs, and Housing, Ministry of Energy, Electricity and Cogeneration Regulatory Authority, Saudi Energy Efficiency Center, King Abdullah City for Atomic and Renewable Energy, Saudi Electricity Company</w:t>
            </w:r>
          </w:p>
          <w:p w14:paraId="53BA86E9" w14:textId="77777777" w:rsidR="005A786E" w:rsidRPr="00965BAA" w:rsidRDefault="005A786E"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00" w:type="pct"/>
            <w:vAlign w:val="center"/>
          </w:tcPr>
          <w:p w14:paraId="35D6807F"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2.4, 3.2</w:t>
            </w:r>
          </w:p>
        </w:tc>
        <w:tc>
          <w:tcPr>
            <w:tcW w:w="578" w:type="pct"/>
            <w:vAlign w:val="center"/>
            <w:hideMark/>
          </w:tcPr>
          <w:p w14:paraId="010C588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w:t>
            </w:r>
          </w:p>
        </w:tc>
        <w:tc>
          <w:tcPr>
            <w:tcW w:w="861" w:type="pct"/>
            <w:tcBorders>
              <w:right w:val="single" w:sz="24" w:space="0" w:color="4C9F38"/>
            </w:tcBorders>
            <w:vAlign w:val="center"/>
            <w:hideMark/>
          </w:tcPr>
          <w:p w14:paraId="51AD55C9"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$21,600,000</w:t>
            </w:r>
          </w:p>
        </w:tc>
      </w:tr>
      <w:tr w:rsidR="005A786E" w:rsidRPr="00965BAA" w14:paraId="42AF15C2" w14:textId="77777777" w:rsidTr="005A5556">
        <w:trPr>
          <w:cnfStyle w:val="000000100000" w:firstRow="0" w:lastRow="0" w:firstColumn="0" w:lastColumn="0" w:oddVBand="0" w:evenVBand="0" w:oddHBand="1" w:evenHBand="0" w:firstRowFirstColumn="0" w:firstRowLastColumn="0" w:lastRowFirstColumn="0" w:lastRowLastColumn="0"/>
          <w:trHeight w:val="1920"/>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61750766"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8: Decent Work &amp; Economic Growth</w:t>
            </w:r>
          </w:p>
        </w:tc>
        <w:tc>
          <w:tcPr>
            <w:tcW w:w="548" w:type="pct"/>
            <w:vAlign w:val="center"/>
            <w:hideMark/>
          </w:tcPr>
          <w:p w14:paraId="61A9AD8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ILO, IOM, OHCHR, UNCTADUNDP, UNFPA, UNODC</w:t>
            </w:r>
          </w:p>
        </w:tc>
        <w:tc>
          <w:tcPr>
            <w:tcW w:w="1695" w:type="pct"/>
            <w:hideMark/>
          </w:tcPr>
          <w:p w14:paraId="4572B383" w14:textId="77777777" w:rsidR="005A786E" w:rsidRPr="00965BAA" w:rsidRDefault="005A786E" w:rsidP="005A5556">
            <w:pPr>
              <w:spacing w:before="120"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Human Resources and Social Development, Saudi Human Rights Commission, Ministry of Health, Ministry of Interior, Ministry of Justice, Ministry of Culture, Ministry of Foreign Affairs, Ministry of Commerce, Ministry of Investment National Committee to Combat Trafficking, The Public Prosecution, Ministry of Economy and Planning, Ministry of Tourism, Ministry of Sports, Family Affairs Council, General Authority for Statistics, National Family Safety Program, Federation of Saudi Chambers, Saudi National Committee of Workers Committees, Authority for Intellectual Property</w:t>
            </w:r>
          </w:p>
        </w:tc>
        <w:tc>
          <w:tcPr>
            <w:tcW w:w="500" w:type="pct"/>
            <w:vAlign w:val="center"/>
          </w:tcPr>
          <w:p w14:paraId="5C5D8D8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1.1, 2.1, 2.6, 3.3, 4.1, 4.2, 4.3, 4.4, 5.2, 5.3, 6.2</w:t>
            </w:r>
          </w:p>
        </w:tc>
        <w:tc>
          <w:tcPr>
            <w:tcW w:w="578" w:type="pct"/>
            <w:vAlign w:val="center"/>
            <w:hideMark/>
          </w:tcPr>
          <w:p w14:paraId="0C0AF47F"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18</w:t>
            </w:r>
          </w:p>
        </w:tc>
        <w:tc>
          <w:tcPr>
            <w:tcW w:w="861" w:type="pct"/>
            <w:tcBorders>
              <w:right w:val="single" w:sz="24" w:space="0" w:color="4C9F38"/>
            </w:tcBorders>
            <w:vAlign w:val="center"/>
            <w:hideMark/>
          </w:tcPr>
          <w:p w14:paraId="1B52631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$18,146,266</w:t>
            </w:r>
          </w:p>
        </w:tc>
      </w:tr>
      <w:tr w:rsidR="005A786E" w:rsidRPr="00965BAA" w14:paraId="42181012" w14:textId="77777777" w:rsidTr="005A5556">
        <w:trPr>
          <w:trHeight w:val="960"/>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51E28F1D"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9: Industry, Innovation, &amp; Infrastructure</w:t>
            </w:r>
          </w:p>
        </w:tc>
        <w:tc>
          <w:tcPr>
            <w:tcW w:w="548" w:type="pct"/>
            <w:vAlign w:val="center"/>
            <w:hideMark/>
          </w:tcPr>
          <w:p w14:paraId="7B992AFE"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UNIDO</w:t>
            </w:r>
          </w:p>
        </w:tc>
        <w:tc>
          <w:tcPr>
            <w:tcW w:w="1695" w:type="pct"/>
            <w:hideMark/>
          </w:tcPr>
          <w:p w14:paraId="3E133BD9"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Presidency of Meteorology and Environment, General Authority for Statistics, National Industrial Clusters Development Program, Saudi Green Initiative</w:t>
            </w:r>
          </w:p>
        </w:tc>
        <w:tc>
          <w:tcPr>
            <w:tcW w:w="500" w:type="pct"/>
            <w:vAlign w:val="center"/>
          </w:tcPr>
          <w:p w14:paraId="02EBCB21"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2.4, 3.3, 4.3, 5.2</w:t>
            </w:r>
          </w:p>
        </w:tc>
        <w:tc>
          <w:tcPr>
            <w:tcW w:w="578" w:type="pct"/>
            <w:vAlign w:val="center"/>
            <w:hideMark/>
          </w:tcPr>
          <w:p w14:paraId="2ADC558E"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w:t>
            </w:r>
          </w:p>
        </w:tc>
        <w:tc>
          <w:tcPr>
            <w:tcW w:w="861" w:type="pct"/>
            <w:tcBorders>
              <w:right w:val="single" w:sz="24" w:space="0" w:color="4C9F38"/>
            </w:tcBorders>
            <w:vAlign w:val="center"/>
            <w:hideMark/>
          </w:tcPr>
          <w:p w14:paraId="61CAF4A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$6,973,465</w:t>
            </w:r>
          </w:p>
        </w:tc>
      </w:tr>
      <w:tr w:rsidR="005A786E" w:rsidRPr="00965BAA" w14:paraId="1A8AD85C" w14:textId="77777777" w:rsidTr="005A5556">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302D49DF"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10: Reduce Inequality</w:t>
            </w:r>
          </w:p>
        </w:tc>
        <w:tc>
          <w:tcPr>
            <w:tcW w:w="548" w:type="pct"/>
            <w:vAlign w:val="center"/>
            <w:hideMark/>
          </w:tcPr>
          <w:p w14:paraId="5477C6D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IOM, UNDP, UNHCR, UNICEF</w:t>
            </w:r>
          </w:p>
        </w:tc>
        <w:tc>
          <w:tcPr>
            <w:tcW w:w="1695" w:type="pct"/>
            <w:hideMark/>
          </w:tcPr>
          <w:p w14:paraId="1214870B" w14:textId="77777777" w:rsidR="005A786E" w:rsidRPr="00965BAA" w:rsidRDefault="005A786E" w:rsidP="005A5556">
            <w:pPr>
              <w:spacing w:before="120"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Saudi Human Rights Commission, Ministry of Human Resources and Social Development, Family Affairs Council, Ministry of Interior, Ministry of Justice, King Salman Humanitarian Aid and Relief Center, Ministry of Foreign Affairs, Naif Arab University for Security Sciences, Disability Centers</w:t>
            </w:r>
          </w:p>
          <w:p w14:paraId="388D6F6A" w14:textId="77777777" w:rsidR="005A786E" w:rsidRPr="00965BAA" w:rsidRDefault="005A786E"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500" w:type="pct"/>
            <w:vAlign w:val="center"/>
          </w:tcPr>
          <w:p w14:paraId="24F7F4C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2.6, 3.1, 4.2, 4.4, 5.1, 5.2, 6.2, 6.3</w:t>
            </w:r>
          </w:p>
        </w:tc>
        <w:tc>
          <w:tcPr>
            <w:tcW w:w="578" w:type="pct"/>
            <w:vAlign w:val="center"/>
            <w:hideMark/>
          </w:tcPr>
          <w:p w14:paraId="577528E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26</w:t>
            </w:r>
          </w:p>
        </w:tc>
        <w:tc>
          <w:tcPr>
            <w:tcW w:w="861" w:type="pct"/>
            <w:tcBorders>
              <w:right w:val="single" w:sz="24" w:space="0" w:color="4C9F38"/>
            </w:tcBorders>
            <w:vAlign w:val="center"/>
            <w:hideMark/>
          </w:tcPr>
          <w:p w14:paraId="44AF779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$14,653,400</w:t>
            </w:r>
          </w:p>
        </w:tc>
      </w:tr>
      <w:tr w:rsidR="005A786E" w:rsidRPr="00965BAA" w14:paraId="5C96A429" w14:textId="77777777" w:rsidTr="005A5556">
        <w:trPr>
          <w:trHeight w:val="576"/>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tcBorders>
            <w:vAlign w:val="center"/>
            <w:hideMark/>
          </w:tcPr>
          <w:p w14:paraId="5B9AFD5D"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11: Sustainable Cities &amp; Communities</w:t>
            </w:r>
          </w:p>
        </w:tc>
        <w:tc>
          <w:tcPr>
            <w:tcW w:w="548" w:type="pct"/>
            <w:vAlign w:val="center"/>
            <w:hideMark/>
          </w:tcPr>
          <w:p w14:paraId="63F6BE9C" w14:textId="77777777" w:rsidR="005A786E" w:rsidRPr="004505D1"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IOM, OHCHR, UN-Habitat, UNESCO, UNICEF, UNODC</w:t>
            </w:r>
          </w:p>
        </w:tc>
        <w:tc>
          <w:tcPr>
            <w:tcW w:w="1695" w:type="pct"/>
            <w:hideMark/>
          </w:tcPr>
          <w:p w14:paraId="0BFB611C"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965BAA">
              <w:rPr>
                <w:rFonts w:ascii="Roboto" w:hAnsi="Roboto" w:cs="Calibri"/>
                <w:b/>
                <w:color w:val="404040" w:themeColor="text1" w:themeTint="BF"/>
                <w:sz w:val="18"/>
                <w:szCs w:val="18"/>
                <w:lang w:val="en-GB"/>
              </w:rPr>
              <w:t>Ministry of Municipal, Rural Affairs, and Housing, Ministry of Human Resources and Social Development, Ministry of Foreign Affairs, Ministry of Interior, Saudi Human Rights Commission, Royal Commission for Al Ula, Ministry of Culture, Ministry of Economy and Planning, Ministry of Tourism, Ministry of Transportation, General Authority for Statistics, Quality of Life Program, State Properties General Authority</w:t>
            </w:r>
          </w:p>
        </w:tc>
        <w:tc>
          <w:tcPr>
            <w:tcW w:w="500" w:type="pct"/>
            <w:vAlign w:val="center"/>
          </w:tcPr>
          <w:p w14:paraId="45C91B01"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1.1, 1.3, 2.1, 2.2, 2.3, 2.4, 2.5, 2.6, 3.1, 3.5, 4.1, 4.2, 4.3, 4.4, 5.1, 5.2, 5.3, 5.4</w:t>
            </w:r>
          </w:p>
        </w:tc>
        <w:tc>
          <w:tcPr>
            <w:tcW w:w="578" w:type="pct"/>
            <w:vAlign w:val="center"/>
            <w:hideMark/>
          </w:tcPr>
          <w:p w14:paraId="4F1DD92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19</w:t>
            </w:r>
          </w:p>
        </w:tc>
        <w:tc>
          <w:tcPr>
            <w:tcW w:w="861" w:type="pct"/>
            <w:tcBorders>
              <w:right w:val="single" w:sz="24" w:space="0" w:color="4C9F38"/>
            </w:tcBorders>
            <w:vAlign w:val="center"/>
            <w:hideMark/>
          </w:tcPr>
          <w:p w14:paraId="47211E5D"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$54,518,863</w:t>
            </w:r>
          </w:p>
        </w:tc>
      </w:tr>
      <w:tr w:rsidR="005A786E" w:rsidRPr="00965BAA" w14:paraId="06209C4D" w14:textId="77777777" w:rsidTr="005A555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18" w:type="pct"/>
            <w:tcBorders>
              <w:left w:val="single" w:sz="24" w:space="0" w:color="4C9F38"/>
              <w:bottom w:val="single" w:sz="24" w:space="0" w:color="4C9F38"/>
            </w:tcBorders>
            <w:vAlign w:val="center"/>
            <w:hideMark/>
          </w:tcPr>
          <w:p w14:paraId="1A249296" w14:textId="77777777" w:rsidR="005A786E" w:rsidRPr="00965BAA" w:rsidRDefault="005A786E" w:rsidP="005A5556">
            <w:pPr>
              <w:jc w:val="center"/>
              <w:rPr>
                <w:rFonts w:ascii="Roboto" w:hAnsi="Roboto" w:cs="Calibri"/>
                <w:caps w:val="0"/>
                <w:color w:val="404040" w:themeColor="text1" w:themeTint="BF"/>
                <w:sz w:val="19"/>
                <w:szCs w:val="19"/>
                <w:lang w:val="en-GB"/>
              </w:rPr>
            </w:pPr>
            <w:r w:rsidRPr="00965BAA">
              <w:rPr>
                <w:rFonts w:ascii="Roboto" w:hAnsi="Roboto" w:cs="Calibri"/>
                <w:color w:val="404040" w:themeColor="text1" w:themeTint="BF"/>
                <w:sz w:val="19"/>
                <w:szCs w:val="19"/>
                <w:lang w:val="en-GB"/>
              </w:rPr>
              <w:lastRenderedPageBreak/>
              <w:t>T</w:t>
            </w:r>
            <w:r w:rsidRPr="00965BAA">
              <w:rPr>
                <w:rFonts w:ascii="Roboto" w:hAnsi="Roboto" w:cs="Calibri"/>
                <w:bCs w:val="0"/>
                <w:caps w:val="0"/>
                <w:color w:val="404040" w:themeColor="text1" w:themeTint="BF"/>
                <w:sz w:val="19"/>
                <w:szCs w:val="19"/>
                <w:lang w:val="en-GB"/>
              </w:rPr>
              <w:t>OTAL</w:t>
            </w:r>
          </w:p>
        </w:tc>
        <w:tc>
          <w:tcPr>
            <w:tcW w:w="548" w:type="pct"/>
            <w:tcBorders>
              <w:bottom w:val="single" w:sz="24" w:space="0" w:color="4C9F38"/>
            </w:tcBorders>
            <w:noWrap/>
            <w:hideMark/>
          </w:tcPr>
          <w:p w14:paraId="0818483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1695" w:type="pct"/>
            <w:tcBorders>
              <w:bottom w:val="single" w:sz="24" w:space="0" w:color="4C9F38"/>
            </w:tcBorders>
            <w:noWrap/>
            <w:hideMark/>
          </w:tcPr>
          <w:p w14:paraId="2697BAB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500" w:type="pct"/>
            <w:tcBorders>
              <w:bottom w:val="single" w:sz="24" w:space="0" w:color="4C9F38"/>
            </w:tcBorders>
            <w:vAlign w:val="center"/>
          </w:tcPr>
          <w:p w14:paraId="25E258D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p>
        </w:tc>
        <w:tc>
          <w:tcPr>
            <w:tcW w:w="578" w:type="pct"/>
            <w:tcBorders>
              <w:bottom w:val="single" w:sz="24" w:space="0" w:color="4C9F38"/>
            </w:tcBorders>
            <w:noWrap/>
            <w:vAlign w:val="center"/>
            <w:hideMark/>
          </w:tcPr>
          <w:p w14:paraId="77780F7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70</w:t>
            </w:r>
          </w:p>
        </w:tc>
        <w:tc>
          <w:tcPr>
            <w:tcW w:w="861" w:type="pct"/>
            <w:tcBorders>
              <w:bottom w:val="single" w:sz="24" w:space="0" w:color="4C9F38"/>
              <w:right w:val="single" w:sz="24" w:space="0" w:color="4C9F38"/>
            </w:tcBorders>
            <w:noWrap/>
            <w:vAlign w:val="center"/>
            <w:hideMark/>
          </w:tcPr>
          <w:p w14:paraId="53F5573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$115,891,994</w:t>
            </w:r>
          </w:p>
        </w:tc>
      </w:tr>
    </w:tbl>
    <w:p w14:paraId="2C18E0FC" w14:textId="77777777" w:rsidR="005A786E" w:rsidRDefault="005A786E" w:rsidP="005A786E">
      <w:pPr>
        <w:jc w:val="both"/>
        <w:rPr>
          <w:rFonts w:ascii="Roboto" w:hAnsi="Roboto"/>
          <w:color w:val="404040" w:themeColor="text1" w:themeTint="BF"/>
          <w:sz w:val="21"/>
          <w:szCs w:val="21"/>
          <w:lang w:val="en-GB"/>
        </w:rPr>
      </w:pPr>
    </w:p>
    <w:p w14:paraId="517BE110" w14:textId="77777777" w:rsidR="005A786E" w:rsidRPr="00965BAA" w:rsidRDefault="005A786E" w:rsidP="005A786E">
      <w:pPr>
        <w:jc w:val="both"/>
        <w:rPr>
          <w:rFonts w:ascii="Roboto" w:hAnsi="Roboto"/>
          <w:color w:val="404040" w:themeColor="text1" w:themeTint="BF"/>
          <w:sz w:val="21"/>
          <w:szCs w:val="21"/>
          <w:lang w:val="en-GB"/>
        </w:rPr>
      </w:pPr>
    </w:p>
    <w:p w14:paraId="18760186"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 xml:space="preserve">The 70 activities at the UN level associated with Strategic Priority Area 3 total an estimated financial commitment of $115,891,994. Ten AFPs have partnered with 33 Saudi organisations to address pressing issues pertinent to this domain. The largest proportion of UN activities in this Strategic Priority Area (37%) addresses SDG 10: Reduce Inequality, while the largest proportion of funds (47%) is dedicated to SDG 11: Sustainable Cities and Communities. </w:t>
      </w:r>
    </w:p>
    <w:p w14:paraId="02253BF0" w14:textId="77777777" w:rsidR="005A786E" w:rsidRPr="00965BAA" w:rsidRDefault="005A786E" w:rsidP="005A786E">
      <w:pPr>
        <w:jc w:val="both"/>
        <w:rPr>
          <w:rFonts w:ascii="Roboto" w:hAnsi="Roboto"/>
          <w:color w:val="404040" w:themeColor="text1" w:themeTint="BF"/>
          <w:sz w:val="21"/>
          <w:szCs w:val="21"/>
          <w:lang w:val="en-GB"/>
        </w:rPr>
      </w:pPr>
    </w:p>
    <w:p w14:paraId="697919E3"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The Theory of Change for Strategic Priority Area 4 derives from SDGs 1-17 with a specific focus on SDGs 16 and17. Designed to promote peace and partnership while simultaneously addressing issues that cut across all other Strategic Priority Areas, 31 UN activities concurrently contribute to their related SDGs/Outputs, as detailed in Table 2.4 below. These activities aim to foster a peaceful, just, and inclusive society in the KSA while facilitating and deepening partnerships to mobilize resources in pursuit of the SDGs.</w:t>
      </w:r>
      <w:r w:rsidRPr="00965BAA">
        <w:rPr>
          <w:rFonts w:ascii="Roboto" w:hAnsi="Roboto" w:cs="Calibri"/>
          <w:color w:val="404040" w:themeColor="text1" w:themeTint="BF"/>
          <w:sz w:val="21"/>
          <w:szCs w:val="21"/>
          <w:lang w:val="en-GB"/>
        </w:rPr>
        <w:t xml:space="preserve"> Streamlined according to the principles of LNOB – according to the UN human rights agenda, vulnerable groups, and other UN markers – these activities will be measured in terms of their corresponding SDG/SDR indicators. Working backwards from the SDG/SDR indicators to be achieved in pursuit of SDGs 16–17, the Theory of Change for Strategic Priority Area 4 strives to support the KSA’s effort to peacefully arrive at a sustainable future in partnership with diverse groups within the country and benefiting from the insights and experiences of partners from around the globe.</w:t>
      </w:r>
    </w:p>
    <w:p w14:paraId="65E3000B" w14:textId="77777777" w:rsidR="005A786E" w:rsidRPr="00965BAA" w:rsidRDefault="005A786E" w:rsidP="005A786E">
      <w:pPr>
        <w:rPr>
          <w:rFonts w:ascii="Roboto" w:hAnsi="Roboto"/>
          <w:b/>
          <w:bCs/>
          <w:color w:val="404040" w:themeColor="text1" w:themeTint="BF"/>
          <w:lang w:val="en-GB"/>
        </w:rPr>
      </w:pPr>
      <w:r w:rsidRPr="00965BAA">
        <w:rPr>
          <w:rFonts w:ascii="Roboto" w:hAnsi="Roboto"/>
          <w:b/>
          <w:bCs/>
          <w:color w:val="404040" w:themeColor="text1" w:themeTint="BF"/>
          <w:lang w:val="en-GB"/>
        </w:rPr>
        <w:br w:type="page"/>
      </w:r>
    </w:p>
    <w:tbl>
      <w:tblPr>
        <w:tblStyle w:val="PlainTable3"/>
        <w:tblW w:w="5257" w:type="pct"/>
        <w:jc w:val="center"/>
        <w:tblLayout w:type="fixed"/>
        <w:tblLook w:val="04A0" w:firstRow="1" w:lastRow="0" w:firstColumn="1" w:lastColumn="0" w:noHBand="0" w:noVBand="1"/>
      </w:tblPr>
      <w:tblGrid>
        <w:gridCol w:w="1614"/>
        <w:gridCol w:w="968"/>
        <w:gridCol w:w="3265"/>
        <w:gridCol w:w="971"/>
        <w:gridCol w:w="1081"/>
        <w:gridCol w:w="1531"/>
      </w:tblGrid>
      <w:tr w:rsidR="005A786E" w:rsidRPr="00965BAA" w14:paraId="2E0CF4D4" w14:textId="77777777" w:rsidTr="005A5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4" w:space="0" w:color="FCC30B"/>
              <w:left w:val="single" w:sz="24" w:space="0" w:color="FCC30B"/>
              <w:right w:val="single" w:sz="24" w:space="0" w:color="FCC30B"/>
            </w:tcBorders>
            <w:shd w:val="clear" w:color="auto" w:fill="FCC30B"/>
          </w:tcPr>
          <w:p w14:paraId="50858A06" w14:textId="77777777" w:rsidR="005A786E" w:rsidRPr="00965BAA" w:rsidRDefault="005A786E" w:rsidP="005A5556">
            <w:pPr>
              <w:spacing w:before="120" w:after="120"/>
              <w:ind w:left="144"/>
              <w:rPr>
                <w:rFonts w:ascii="Roboto" w:hAnsi="Roboto" w:cs="Calibri"/>
                <w:color w:val="FFFFFF" w:themeColor="background1"/>
                <w:sz w:val="22"/>
                <w:szCs w:val="22"/>
                <w:lang w:val="en-GB"/>
              </w:rPr>
            </w:pPr>
            <w:r w:rsidRPr="00965BAA">
              <w:rPr>
                <w:rFonts w:ascii="Roboto" w:hAnsi="Roboto" w:cs="Calibri"/>
                <w:color w:val="FFFFFF" w:themeColor="background1"/>
                <w:sz w:val="22"/>
                <w:szCs w:val="22"/>
                <w:lang w:val="en-GB"/>
              </w:rPr>
              <w:lastRenderedPageBreak/>
              <w:t xml:space="preserve">Table </w:t>
            </w:r>
            <w:r>
              <w:rPr>
                <w:rFonts w:ascii="Roboto" w:hAnsi="Roboto" w:cs="Calibri"/>
                <w:color w:val="FFFFFF" w:themeColor="background1"/>
                <w:sz w:val="22"/>
                <w:szCs w:val="22"/>
                <w:lang w:val="en-GB"/>
              </w:rPr>
              <w:t>B</w:t>
            </w:r>
            <w:r w:rsidRPr="00965BAA">
              <w:rPr>
                <w:rFonts w:ascii="Roboto" w:hAnsi="Roboto" w:cs="Calibri"/>
                <w:color w:val="FFFFFF" w:themeColor="background1"/>
                <w:sz w:val="22"/>
                <w:szCs w:val="22"/>
                <w:lang w:val="en-GB"/>
              </w:rPr>
              <w:t>.4 results matrix for strategic priority area 4 (2022-2026) – Peace, Partnership, and Other Cross-Cutting Issues</w:t>
            </w:r>
          </w:p>
        </w:tc>
      </w:tr>
      <w:tr w:rsidR="005A786E" w:rsidRPr="00965BAA" w14:paraId="029CCE85" w14:textId="77777777" w:rsidTr="005A5556">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856" w:type="pct"/>
            <w:tcBorders>
              <w:left w:val="single" w:sz="24" w:space="0" w:color="FCC30B"/>
            </w:tcBorders>
            <w:vAlign w:val="center"/>
            <w:hideMark/>
          </w:tcPr>
          <w:p w14:paraId="42192B07"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SDGs</w:t>
            </w:r>
          </w:p>
        </w:tc>
        <w:tc>
          <w:tcPr>
            <w:tcW w:w="513" w:type="pct"/>
            <w:noWrap/>
            <w:vAlign w:val="center"/>
            <w:hideMark/>
          </w:tcPr>
          <w:p w14:paraId="5A94865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AFPs</w:t>
            </w:r>
          </w:p>
        </w:tc>
        <w:tc>
          <w:tcPr>
            <w:tcW w:w="1731" w:type="pct"/>
            <w:noWrap/>
            <w:vAlign w:val="center"/>
            <w:hideMark/>
          </w:tcPr>
          <w:p w14:paraId="0EF3309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Partner(s)</w:t>
            </w:r>
          </w:p>
        </w:tc>
        <w:tc>
          <w:tcPr>
            <w:tcW w:w="515" w:type="pct"/>
            <w:vAlign w:val="center"/>
          </w:tcPr>
          <w:p w14:paraId="229C016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Vision (Level 2)</w:t>
            </w:r>
          </w:p>
        </w:tc>
        <w:tc>
          <w:tcPr>
            <w:tcW w:w="573" w:type="pct"/>
            <w:vAlign w:val="center"/>
            <w:hideMark/>
          </w:tcPr>
          <w:p w14:paraId="55EE792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Number of Activities</w:t>
            </w:r>
          </w:p>
        </w:tc>
        <w:tc>
          <w:tcPr>
            <w:tcW w:w="812" w:type="pct"/>
            <w:tcBorders>
              <w:right w:val="single" w:sz="24" w:space="0" w:color="FCC30B"/>
            </w:tcBorders>
            <w:vAlign w:val="center"/>
            <w:hideMark/>
          </w:tcPr>
          <w:p w14:paraId="38AA9181"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Total Estimated Cost</w:t>
            </w:r>
          </w:p>
        </w:tc>
      </w:tr>
      <w:tr w:rsidR="005A786E" w:rsidRPr="00965BAA" w14:paraId="2C69107D" w14:textId="77777777" w:rsidTr="005A5556">
        <w:trPr>
          <w:trHeight w:val="2340"/>
          <w:jc w:val="center"/>
        </w:trPr>
        <w:tc>
          <w:tcPr>
            <w:cnfStyle w:val="001000000000" w:firstRow="0" w:lastRow="0" w:firstColumn="1" w:lastColumn="0" w:oddVBand="0" w:evenVBand="0" w:oddHBand="0" w:evenHBand="0" w:firstRowFirstColumn="0" w:firstRowLastColumn="0" w:lastRowFirstColumn="0" w:lastRowLastColumn="0"/>
            <w:tcW w:w="856" w:type="pct"/>
            <w:tcBorders>
              <w:left w:val="single" w:sz="24" w:space="0" w:color="FCC30B"/>
            </w:tcBorders>
            <w:vAlign w:val="center"/>
            <w:hideMark/>
          </w:tcPr>
          <w:p w14:paraId="54AB70D3"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16:  Peace, Justice, &amp; Strong Institutions</w:t>
            </w:r>
          </w:p>
        </w:tc>
        <w:tc>
          <w:tcPr>
            <w:tcW w:w="513" w:type="pct"/>
            <w:vAlign w:val="center"/>
            <w:hideMark/>
          </w:tcPr>
          <w:p w14:paraId="50142472" w14:textId="77777777" w:rsidR="005A786E" w:rsidRPr="004505D1"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IOM, OHCHR, UN-Habitat, UNDP, UNODC, UNICEF</w:t>
            </w:r>
          </w:p>
        </w:tc>
        <w:tc>
          <w:tcPr>
            <w:tcW w:w="1731" w:type="pct"/>
            <w:hideMark/>
          </w:tcPr>
          <w:p w14:paraId="2FC7196F"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Saudi Human Rights Commission, Ministry of Human Resources and Social Development, Ministry of Interior, The Public Prosecution, Ministry of Justice, National Anti-corruption Commission, National Center for Performance Management, Ministry of Economy and Planning, Ministry of Education, Saudi Development and Reconstruction Program for Yemen, Anti-Money Laundering Permanent Committee, Ministry of Municipal, Rural Affairs, and Housing, Ministry of Foreign Affairs, Ministry of Health, Ministry of Sports, General Authority for Statistics, Naif Arab University for Security Sciences, King Abdulaziz Center for National Dialogue, Saudi Central Bank, Saudi Customs, Federation of Saudi Chambers, Saudi Arabia Financial Investigation Unit, Saudi National Committee of Workers Committees, General Directorate of Border Guard, Mohammed bin Nayef Counselling and Care Center, Saudi Bar Association, Family Affairs Council</w:t>
            </w:r>
          </w:p>
          <w:p w14:paraId="04278002" w14:textId="77777777" w:rsidR="005A786E" w:rsidRPr="00965BAA" w:rsidRDefault="005A786E" w:rsidP="005A5556">
            <w:pPr>
              <w:spacing w:before="120" w:after="1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p>
        </w:tc>
        <w:tc>
          <w:tcPr>
            <w:tcW w:w="515" w:type="pct"/>
            <w:vAlign w:val="center"/>
          </w:tcPr>
          <w:p w14:paraId="7A66878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1.1, 1.3, 2.1, 2.3, 2.6, 3.1, 3.3, 3.5, 3.6, 3.7, 4.1, 4.2, 4.3, 4.4, 5.1, 5.2, 5.3, 6.2, 6.3</w:t>
            </w:r>
          </w:p>
        </w:tc>
        <w:tc>
          <w:tcPr>
            <w:tcW w:w="573" w:type="pct"/>
            <w:vAlign w:val="center"/>
            <w:hideMark/>
          </w:tcPr>
          <w:p w14:paraId="4A6ACFE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28</w:t>
            </w:r>
          </w:p>
        </w:tc>
        <w:tc>
          <w:tcPr>
            <w:tcW w:w="812" w:type="pct"/>
            <w:tcBorders>
              <w:right w:val="single" w:sz="24" w:space="0" w:color="FCC30B"/>
            </w:tcBorders>
            <w:vAlign w:val="center"/>
            <w:hideMark/>
          </w:tcPr>
          <w:p w14:paraId="7EB622F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$49,191,006</w:t>
            </w:r>
          </w:p>
        </w:tc>
      </w:tr>
      <w:tr w:rsidR="005A786E" w:rsidRPr="00965BAA" w14:paraId="4BC83566" w14:textId="77777777" w:rsidTr="005A5556">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856" w:type="pct"/>
            <w:tcBorders>
              <w:left w:val="single" w:sz="24" w:space="0" w:color="FCC30B"/>
            </w:tcBorders>
            <w:vAlign w:val="center"/>
            <w:hideMark/>
          </w:tcPr>
          <w:p w14:paraId="55AA5776"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SDG 17: Partnership For The Goals</w:t>
            </w:r>
          </w:p>
        </w:tc>
        <w:tc>
          <w:tcPr>
            <w:tcW w:w="513" w:type="pct"/>
            <w:vAlign w:val="center"/>
            <w:hideMark/>
          </w:tcPr>
          <w:p w14:paraId="02EA31B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UNDP, UNFPA</w:t>
            </w:r>
          </w:p>
        </w:tc>
        <w:tc>
          <w:tcPr>
            <w:tcW w:w="1731" w:type="pct"/>
            <w:hideMark/>
          </w:tcPr>
          <w:p w14:paraId="6D82303D" w14:textId="77777777" w:rsidR="005A786E" w:rsidRPr="00965BAA" w:rsidRDefault="005A786E" w:rsidP="005A5556">
            <w:pPr>
              <w:spacing w:before="120" w:after="1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General Authority for Statistics, Ministry of Human Resources and Social Development, Ministry of Health, Ministry of Economy and Planning, Ministry of Education, Ministry of Communication and Information, Digital Cooperation Organization</w:t>
            </w:r>
          </w:p>
        </w:tc>
        <w:tc>
          <w:tcPr>
            <w:tcW w:w="515" w:type="pct"/>
            <w:vAlign w:val="center"/>
          </w:tcPr>
          <w:p w14:paraId="3681908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2.1, 3.1, 3.3, 5.2, 6.2</w:t>
            </w:r>
          </w:p>
        </w:tc>
        <w:tc>
          <w:tcPr>
            <w:tcW w:w="573" w:type="pct"/>
            <w:vAlign w:val="center"/>
            <w:hideMark/>
          </w:tcPr>
          <w:p w14:paraId="2393032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w:t>
            </w:r>
          </w:p>
        </w:tc>
        <w:tc>
          <w:tcPr>
            <w:tcW w:w="812" w:type="pct"/>
            <w:tcBorders>
              <w:right w:val="single" w:sz="24" w:space="0" w:color="FCC30B"/>
            </w:tcBorders>
            <w:vAlign w:val="center"/>
            <w:hideMark/>
          </w:tcPr>
          <w:p w14:paraId="59EBF2A3"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$4,965,945</w:t>
            </w:r>
          </w:p>
        </w:tc>
      </w:tr>
      <w:tr w:rsidR="005A786E" w:rsidRPr="00965BAA" w14:paraId="25A55380" w14:textId="77777777" w:rsidTr="005A5556">
        <w:trPr>
          <w:trHeight w:val="288"/>
          <w:jc w:val="center"/>
        </w:trPr>
        <w:tc>
          <w:tcPr>
            <w:cnfStyle w:val="001000000000" w:firstRow="0" w:lastRow="0" w:firstColumn="1" w:lastColumn="0" w:oddVBand="0" w:evenVBand="0" w:oddHBand="0" w:evenHBand="0" w:firstRowFirstColumn="0" w:firstRowLastColumn="0" w:lastRowFirstColumn="0" w:lastRowLastColumn="0"/>
            <w:tcW w:w="856" w:type="pct"/>
            <w:tcBorders>
              <w:left w:val="single" w:sz="24" w:space="0" w:color="FCC30B"/>
              <w:bottom w:val="single" w:sz="24" w:space="0" w:color="FCC30B"/>
            </w:tcBorders>
            <w:hideMark/>
          </w:tcPr>
          <w:p w14:paraId="5AB57041" w14:textId="77777777" w:rsidR="005A786E" w:rsidRPr="00965BAA" w:rsidRDefault="005A786E" w:rsidP="005A5556">
            <w:pPr>
              <w:jc w:val="center"/>
              <w:rPr>
                <w:rFonts w:ascii="Roboto" w:hAnsi="Roboto" w:cs="Calibri"/>
                <w:color w:val="404040" w:themeColor="text1" w:themeTint="BF"/>
                <w:sz w:val="19"/>
                <w:szCs w:val="19"/>
                <w:lang w:val="en-GB"/>
              </w:rPr>
            </w:pPr>
            <w:r w:rsidRPr="00965BAA">
              <w:rPr>
                <w:rFonts w:ascii="Roboto" w:hAnsi="Roboto" w:cs="Calibri"/>
                <w:color w:val="404040" w:themeColor="text1" w:themeTint="BF"/>
                <w:sz w:val="19"/>
                <w:szCs w:val="19"/>
                <w:lang w:val="en-GB"/>
              </w:rPr>
              <w:t>Total</w:t>
            </w:r>
          </w:p>
        </w:tc>
        <w:tc>
          <w:tcPr>
            <w:tcW w:w="513" w:type="pct"/>
            <w:tcBorders>
              <w:bottom w:val="single" w:sz="24" w:space="0" w:color="FCC30B"/>
            </w:tcBorders>
            <w:noWrap/>
            <w:hideMark/>
          </w:tcPr>
          <w:p w14:paraId="7DA0648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1731" w:type="pct"/>
            <w:tcBorders>
              <w:bottom w:val="single" w:sz="24" w:space="0" w:color="FCC30B"/>
            </w:tcBorders>
            <w:noWrap/>
            <w:hideMark/>
          </w:tcPr>
          <w:p w14:paraId="0D3D4CA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w:t>
            </w:r>
          </w:p>
        </w:tc>
        <w:tc>
          <w:tcPr>
            <w:tcW w:w="515" w:type="pct"/>
            <w:tcBorders>
              <w:bottom w:val="single" w:sz="24" w:space="0" w:color="FCC30B"/>
            </w:tcBorders>
            <w:vAlign w:val="center"/>
          </w:tcPr>
          <w:p w14:paraId="03B1C8AF"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p>
        </w:tc>
        <w:tc>
          <w:tcPr>
            <w:tcW w:w="573" w:type="pct"/>
            <w:tcBorders>
              <w:bottom w:val="single" w:sz="24" w:space="0" w:color="FCC30B"/>
            </w:tcBorders>
            <w:noWrap/>
            <w:hideMark/>
          </w:tcPr>
          <w:p w14:paraId="566C8F4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31</w:t>
            </w:r>
          </w:p>
        </w:tc>
        <w:tc>
          <w:tcPr>
            <w:tcW w:w="812" w:type="pct"/>
            <w:tcBorders>
              <w:bottom w:val="single" w:sz="24" w:space="0" w:color="FCC30B"/>
              <w:right w:val="single" w:sz="24" w:space="0" w:color="FCC30B"/>
            </w:tcBorders>
            <w:noWrap/>
            <w:hideMark/>
          </w:tcPr>
          <w:p w14:paraId="1DC18F5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965BAA">
              <w:rPr>
                <w:rFonts w:ascii="Roboto" w:hAnsi="Roboto" w:cs="Calibri"/>
                <w:b/>
                <w:color w:val="404040" w:themeColor="text1" w:themeTint="BF"/>
                <w:sz w:val="19"/>
                <w:szCs w:val="19"/>
                <w:lang w:val="en-GB"/>
              </w:rPr>
              <w:t>$54,156,951</w:t>
            </w:r>
          </w:p>
        </w:tc>
      </w:tr>
    </w:tbl>
    <w:p w14:paraId="52812D3D" w14:textId="77777777" w:rsidR="005A786E" w:rsidRPr="00965BAA" w:rsidRDefault="005A786E" w:rsidP="005A786E">
      <w:pPr>
        <w:jc w:val="both"/>
        <w:rPr>
          <w:rFonts w:ascii="Roboto" w:hAnsi="Roboto"/>
          <w:b/>
          <w:bCs/>
          <w:color w:val="404040" w:themeColor="text1" w:themeTint="BF"/>
          <w:lang w:val="en-GB"/>
        </w:rPr>
      </w:pPr>
    </w:p>
    <w:p w14:paraId="40B171E6"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 xml:space="preserve">The 31 total activities at the UN level associated with Strategic Priority Area 4 total an estimated financial commitment of $54,156,951. Eight AFPs have partnered with 29 Saudi organisations to address pressing issues pertinent to this domain. The largest proportion of UN activities in this Strategic Priority Area (87%) addresses SDG 16: Peace, Justice, and Strong Institutions; the largest proportion of funds (90%) is also dedicated to this SDG. </w:t>
      </w:r>
    </w:p>
    <w:p w14:paraId="726B5E3E" w14:textId="77777777" w:rsidR="005A786E" w:rsidRPr="00965BAA" w:rsidRDefault="005A786E" w:rsidP="005A786E">
      <w:pPr>
        <w:jc w:val="both"/>
        <w:rPr>
          <w:rFonts w:ascii="Roboto" w:hAnsi="Roboto" w:cs="Calibri"/>
          <w:color w:val="404040" w:themeColor="text1" w:themeTint="BF"/>
          <w:sz w:val="21"/>
          <w:szCs w:val="21"/>
          <w:lang w:val="en-GB"/>
        </w:rPr>
      </w:pPr>
    </w:p>
    <w:p w14:paraId="1C0B5AA0"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s="Calibri"/>
          <w:color w:val="404040" w:themeColor="text1" w:themeTint="BF"/>
          <w:sz w:val="21"/>
          <w:szCs w:val="21"/>
          <w:lang w:val="en-GB"/>
        </w:rPr>
        <w:t xml:space="preserve">Below, Tables 2.5 and 2.6 provide overviews of UN activities in the KSA. They aggregate information from the UNCT activity-level collection tool for the UNSDCF by AFP (Government partners, number of activities, costs, and SDGs covered) and by main Government partner (AFPs, number of activities, costs, and SDGs covered). </w:t>
      </w:r>
    </w:p>
    <w:p w14:paraId="7AA06764" w14:textId="77777777" w:rsidR="005A786E" w:rsidRPr="00965BAA" w:rsidRDefault="005A786E" w:rsidP="005A786E">
      <w:pPr>
        <w:jc w:val="both"/>
        <w:rPr>
          <w:rFonts w:ascii="Roboto" w:hAnsi="Roboto"/>
          <w:color w:val="404040" w:themeColor="text1" w:themeTint="BF"/>
          <w:sz w:val="21"/>
          <w:szCs w:val="21"/>
          <w:lang w:val="en-GB"/>
        </w:rPr>
      </w:pPr>
    </w:p>
    <w:tbl>
      <w:tblPr>
        <w:tblStyle w:val="PlainTable3"/>
        <w:tblW w:w="5191" w:type="pct"/>
        <w:jc w:val="center"/>
        <w:tblLayout w:type="fixed"/>
        <w:tblLook w:val="0480" w:firstRow="0" w:lastRow="0" w:firstColumn="1" w:lastColumn="0" w:noHBand="0" w:noVBand="1"/>
      </w:tblPr>
      <w:tblGrid>
        <w:gridCol w:w="898"/>
        <w:gridCol w:w="4332"/>
        <w:gridCol w:w="989"/>
        <w:gridCol w:w="1263"/>
        <w:gridCol w:w="1077"/>
        <w:gridCol w:w="809"/>
      </w:tblGrid>
      <w:tr w:rsidR="005A786E" w:rsidRPr="00965BAA" w14:paraId="26D55392"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vAlign w:val="center"/>
          </w:tcPr>
          <w:p w14:paraId="76AB5B2A" w14:textId="77777777" w:rsidR="005A786E" w:rsidRPr="00965BAA" w:rsidRDefault="005A786E" w:rsidP="005A5556">
            <w:pPr>
              <w:spacing w:before="120" w:after="120"/>
              <w:ind w:left="144"/>
              <w:rPr>
                <w:rFonts w:ascii="Roboto" w:hAnsi="Roboto" w:cs="Calibri"/>
                <w:color w:val="404040" w:themeColor="text1" w:themeTint="BF"/>
                <w:sz w:val="22"/>
                <w:szCs w:val="22"/>
                <w:lang w:val="en-GB"/>
              </w:rPr>
            </w:pPr>
            <w:r w:rsidRPr="00965BAA">
              <w:rPr>
                <w:rFonts w:ascii="Roboto" w:hAnsi="Roboto" w:cs="Calibri"/>
                <w:color w:val="404040" w:themeColor="text1" w:themeTint="BF"/>
                <w:sz w:val="22"/>
                <w:szCs w:val="22"/>
                <w:lang w:val="en-GB"/>
              </w:rPr>
              <w:lastRenderedPageBreak/>
              <w:t xml:space="preserve">table </w:t>
            </w:r>
            <w:r>
              <w:rPr>
                <w:rFonts w:ascii="Roboto" w:hAnsi="Roboto" w:cs="Calibri"/>
                <w:color w:val="404040" w:themeColor="text1" w:themeTint="BF"/>
                <w:sz w:val="22"/>
                <w:szCs w:val="22"/>
                <w:lang w:val="en-GB"/>
              </w:rPr>
              <w:t>B</w:t>
            </w:r>
            <w:r w:rsidRPr="00965BAA">
              <w:rPr>
                <w:rFonts w:ascii="Roboto" w:hAnsi="Roboto" w:cs="Calibri"/>
                <w:color w:val="404040" w:themeColor="text1" w:themeTint="BF"/>
                <w:sz w:val="22"/>
                <w:szCs w:val="22"/>
                <w:lang w:val="en-GB"/>
              </w:rPr>
              <w:t>.5 Un activities by agency, fund, or programme</w:t>
            </w:r>
          </w:p>
        </w:tc>
      </w:tr>
      <w:tr w:rsidR="005A786E" w:rsidRPr="00965BAA" w14:paraId="413E9AD3"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top w:val="single" w:sz="2" w:space="0" w:color="000000" w:themeColor="text1"/>
              <w:left w:val="single" w:sz="2" w:space="0" w:color="000000" w:themeColor="text1"/>
            </w:tcBorders>
            <w:vAlign w:val="center"/>
            <w:hideMark/>
          </w:tcPr>
          <w:p w14:paraId="60F3BE83"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AFP</w:t>
            </w:r>
          </w:p>
        </w:tc>
        <w:tc>
          <w:tcPr>
            <w:tcW w:w="2312" w:type="pct"/>
            <w:tcBorders>
              <w:top w:val="single" w:sz="2" w:space="0" w:color="000000" w:themeColor="text1"/>
            </w:tcBorders>
            <w:vAlign w:val="center"/>
            <w:hideMark/>
          </w:tcPr>
          <w:p w14:paraId="01E0837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Partner(s)</w:t>
            </w:r>
          </w:p>
        </w:tc>
        <w:tc>
          <w:tcPr>
            <w:tcW w:w="528" w:type="pct"/>
            <w:tcBorders>
              <w:top w:val="single" w:sz="2" w:space="0" w:color="000000" w:themeColor="text1"/>
            </w:tcBorders>
            <w:vAlign w:val="center"/>
            <w:hideMark/>
          </w:tcPr>
          <w:p w14:paraId="1D1FC72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Number of Activities</w:t>
            </w:r>
          </w:p>
        </w:tc>
        <w:tc>
          <w:tcPr>
            <w:tcW w:w="674" w:type="pct"/>
            <w:tcBorders>
              <w:top w:val="single" w:sz="2" w:space="0" w:color="000000" w:themeColor="text1"/>
            </w:tcBorders>
            <w:vAlign w:val="center"/>
            <w:hideMark/>
          </w:tcPr>
          <w:p w14:paraId="67278D4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Total Estimated Cost</w:t>
            </w:r>
          </w:p>
        </w:tc>
        <w:tc>
          <w:tcPr>
            <w:tcW w:w="575" w:type="pct"/>
            <w:tcBorders>
              <w:top w:val="single" w:sz="2" w:space="0" w:color="000000" w:themeColor="text1"/>
            </w:tcBorders>
            <w:vAlign w:val="center"/>
            <w:hideMark/>
          </w:tcPr>
          <w:p w14:paraId="73643F39"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SDGs</w:t>
            </w:r>
          </w:p>
        </w:tc>
        <w:tc>
          <w:tcPr>
            <w:tcW w:w="432" w:type="pct"/>
            <w:tcBorders>
              <w:top w:val="single" w:sz="2" w:space="0" w:color="000000" w:themeColor="text1"/>
              <w:right w:val="single" w:sz="2" w:space="0" w:color="000000" w:themeColor="text1"/>
            </w:tcBorders>
            <w:vAlign w:val="center"/>
          </w:tcPr>
          <w:p w14:paraId="67DA6AC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Vision (Level 2)</w:t>
            </w:r>
          </w:p>
        </w:tc>
      </w:tr>
      <w:tr w:rsidR="005A786E" w:rsidRPr="00965BAA" w14:paraId="5418B146"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19C65E48"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FAO</w:t>
            </w:r>
          </w:p>
        </w:tc>
        <w:tc>
          <w:tcPr>
            <w:tcW w:w="2312" w:type="pct"/>
            <w:vAlign w:val="center"/>
            <w:hideMark/>
          </w:tcPr>
          <w:p w14:paraId="6A1BAA86"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Environment, Water, and Agriculture, Saudi Irrigation Organization</w:t>
            </w:r>
          </w:p>
          <w:p w14:paraId="4269C3A0"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tc>
        <w:tc>
          <w:tcPr>
            <w:tcW w:w="528" w:type="pct"/>
            <w:noWrap/>
            <w:vAlign w:val="center"/>
            <w:hideMark/>
          </w:tcPr>
          <w:p w14:paraId="6E82AF0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674" w:type="pct"/>
            <w:noWrap/>
            <w:vAlign w:val="center"/>
            <w:hideMark/>
          </w:tcPr>
          <w:p w14:paraId="2680D06C"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$69,222,224</w:t>
            </w:r>
          </w:p>
        </w:tc>
        <w:tc>
          <w:tcPr>
            <w:tcW w:w="575" w:type="pct"/>
            <w:vAlign w:val="center"/>
            <w:hideMark/>
          </w:tcPr>
          <w:p w14:paraId="36C879E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1, 2, 6, 12, 14, 15</w:t>
            </w:r>
          </w:p>
        </w:tc>
        <w:tc>
          <w:tcPr>
            <w:tcW w:w="432" w:type="pct"/>
            <w:tcBorders>
              <w:right w:val="single" w:sz="2" w:space="0" w:color="000000" w:themeColor="text1"/>
            </w:tcBorders>
            <w:vAlign w:val="center"/>
          </w:tcPr>
          <w:p w14:paraId="43F9756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2.4, 4.2, 4.3, 5.2, 5.4</w:t>
            </w:r>
          </w:p>
        </w:tc>
      </w:tr>
      <w:tr w:rsidR="005A786E" w:rsidRPr="00965BAA" w14:paraId="60D9152E"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5255BC9F"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ILO</w:t>
            </w:r>
          </w:p>
        </w:tc>
        <w:tc>
          <w:tcPr>
            <w:tcW w:w="2312" w:type="pct"/>
            <w:vAlign w:val="center"/>
            <w:hideMark/>
          </w:tcPr>
          <w:p w14:paraId="3E31F2B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Federation of Saudi Chambers, Family Affairs Council, General Authority for Statistics, General Organization for Social Insurance, King Abdulaziz Center for National Dialogue, Ministry of Human Resources and Social Development, Saudi National Committee of Workers Committees</w:t>
            </w:r>
          </w:p>
        </w:tc>
        <w:tc>
          <w:tcPr>
            <w:tcW w:w="528" w:type="pct"/>
            <w:noWrap/>
            <w:vAlign w:val="center"/>
            <w:hideMark/>
          </w:tcPr>
          <w:p w14:paraId="1D38E68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w:t>
            </w:r>
          </w:p>
        </w:tc>
        <w:tc>
          <w:tcPr>
            <w:tcW w:w="674" w:type="pct"/>
            <w:noWrap/>
            <w:vAlign w:val="center"/>
            <w:hideMark/>
          </w:tcPr>
          <w:p w14:paraId="2AF02AD9"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$2,210,000</w:t>
            </w:r>
          </w:p>
        </w:tc>
        <w:tc>
          <w:tcPr>
            <w:tcW w:w="575" w:type="pct"/>
            <w:vAlign w:val="center"/>
            <w:hideMark/>
          </w:tcPr>
          <w:p w14:paraId="5AA898F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1, 3, 4, 5, 8, 10, 16</w:t>
            </w:r>
          </w:p>
        </w:tc>
        <w:tc>
          <w:tcPr>
            <w:tcW w:w="432" w:type="pct"/>
            <w:tcBorders>
              <w:right w:val="single" w:sz="2" w:space="0" w:color="000000" w:themeColor="text1"/>
            </w:tcBorders>
            <w:vAlign w:val="center"/>
          </w:tcPr>
          <w:p w14:paraId="1100A57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2.1, 2.6, 4.1, 4.2, 4.4, 5.2, 5.3</w:t>
            </w:r>
          </w:p>
        </w:tc>
      </w:tr>
      <w:tr w:rsidR="005A786E" w:rsidRPr="00965BAA" w14:paraId="4D53D1F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030E7A14"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IOM</w:t>
            </w:r>
          </w:p>
        </w:tc>
        <w:tc>
          <w:tcPr>
            <w:tcW w:w="2312" w:type="pct"/>
            <w:vAlign w:val="center"/>
            <w:hideMark/>
          </w:tcPr>
          <w:p w14:paraId="5D6E081D"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King Salman Humanitarian Aid and Relief Center, Ministry of Health, Ministry of Human Resources and Social Development, Ministry of Interior, Ministry of Justice, Naif Arab University for Security Studies, Saudi Human Rights Commission</w:t>
            </w:r>
          </w:p>
        </w:tc>
        <w:tc>
          <w:tcPr>
            <w:tcW w:w="528" w:type="pct"/>
            <w:noWrap/>
            <w:vAlign w:val="center"/>
            <w:hideMark/>
          </w:tcPr>
          <w:p w14:paraId="613A18E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30</w:t>
            </w:r>
          </w:p>
        </w:tc>
        <w:tc>
          <w:tcPr>
            <w:tcW w:w="674" w:type="pct"/>
            <w:noWrap/>
            <w:vAlign w:val="center"/>
            <w:hideMark/>
          </w:tcPr>
          <w:p w14:paraId="0CD9402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$14,028,200</w:t>
            </w:r>
          </w:p>
        </w:tc>
        <w:tc>
          <w:tcPr>
            <w:tcW w:w="575" w:type="pct"/>
            <w:vAlign w:val="center"/>
            <w:hideMark/>
          </w:tcPr>
          <w:p w14:paraId="057E54B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1, 3, 4, 5, 8, 10, 11, 16</w:t>
            </w:r>
          </w:p>
        </w:tc>
        <w:tc>
          <w:tcPr>
            <w:tcW w:w="432" w:type="pct"/>
            <w:tcBorders>
              <w:right w:val="single" w:sz="2" w:space="0" w:color="000000" w:themeColor="text1"/>
            </w:tcBorders>
            <w:vAlign w:val="center"/>
          </w:tcPr>
          <w:p w14:paraId="5A8577D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2.1, 3.1, 4.1, 4.4, 5.1, 5.2, 6.2, 6.3</w:t>
            </w:r>
          </w:p>
        </w:tc>
      </w:tr>
      <w:tr w:rsidR="005A786E" w:rsidRPr="00965BAA" w14:paraId="13343CC6" w14:textId="77777777" w:rsidTr="005A5556">
        <w:trPr>
          <w:trHeight w:val="432"/>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23A9EC09"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OHCHR</w:t>
            </w:r>
          </w:p>
        </w:tc>
        <w:tc>
          <w:tcPr>
            <w:tcW w:w="2312" w:type="pct"/>
            <w:vAlign w:val="center"/>
            <w:hideMark/>
          </w:tcPr>
          <w:p w14:paraId="48D0D4CF"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Saudi Human Rights Commission</w:t>
            </w:r>
          </w:p>
        </w:tc>
        <w:tc>
          <w:tcPr>
            <w:tcW w:w="528" w:type="pct"/>
            <w:noWrap/>
            <w:vAlign w:val="center"/>
            <w:hideMark/>
          </w:tcPr>
          <w:p w14:paraId="0E80E43E"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14</w:t>
            </w:r>
          </w:p>
        </w:tc>
        <w:tc>
          <w:tcPr>
            <w:tcW w:w="674" w:type="pct"/>
            <w:noWrap/>
            <w:vAlign w:val="center"/>
            <w:hideMark/>
          </w:tcPr>
          <w:p w14:paraId="01C0C63D"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$3,387,459</w:t>
            </w:r>
          </w:p>
        </w:tc>
        <w:tc>
          <w:tcPr>
            <w:tcW w:w="575" w:type="pct"/>
            <w:vAlign w:val="center"/>
            <w:hideMark/>
          </w:tcPr>
          <w:p w14:paraId="5B81CFF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3, 4, 5, 8, 10, 11, 16</w:t>
            </w:r>
          </w:p>
        </w:tc>
        <w:tc>
          <w:tcPr>
            <w:tcW w:w="432" w:type="pct"/>
            <w:tcBorders>
              <w:right w:val="single" w:sz="2" w:space="0" w:color="000000" w:themeColor="text1"/>
            </w:tcBorders>
            <w:vAlign w:val="center"/>
          </w:tcPr>
          <w:p w14:paraId="1E147E0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1.1, 2.1, 2.3, 2.6, 4.1, 4.2, 4.4, 5.2, 5.3, 5.4, 6.2, 6.3</w:t>
            </w:r>
          </w:p>
        </w:tc>
      </w:tr>
      <w:tr w:rsidR="005A786E" w:rsidRPr="00965BAA" w14:paraId="455E3644"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560C2410"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UN-HABITAT</w:t>
            </w:r>
          </w:p>
        </w:tc>
        <w:tc>
          <w:tcPr>
            <w:tcW w:w="2312" w:type="pct"/>
            <w:vAlign w:val="center"/>
            <w:hideMark/>
          </w:tcPr>
          <w:p w14:paraId="2AD05321"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General Authority for Statistics, Ministry of Economy and Planning, Ministry of Environment, Water, and Agriculture, Ministry of Foreign Affairs Ministry of Human Resources and Social Development, Ministry of Interior, Ministry of Municipal, Rural Affairs, and Housing, Ministry of Tourism, Ministry of Transportation, Quality of Life Program, Royal Commission for AlUla, State Properties General Authority</w:t>
            </w:r>
          </w:p>
        </w:tc>
        <w:tc>
          <w:tcPr>
            <w:tcW w:w="528" w:type="pct"/>
            <w:noWrap/>
            <w:vAlign w:val="center"/>
            <w:hideMark/>
          </w:tcPr>
          <w:p w14:paraId="1511E03F"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20</w:t>
            </w:r>
          </w:p>
        </w:tc>
        <w:tc>
          <w:tcPr>
            <w:tcW w:w="674" w:type="pct"/>
            <w:noWrap/>
            <w:vAlign w:val="center"/>
            <w:hideMark/>
          </w:tcPr>
          <w:p w14:paraId="69D4A0C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$27,040,000</w:t>
            </w:r>
          </w:p>
        </w:tc>
        <w:tc>
          <w:tcPr>
            <w:tcW w:w="575" w:type="pct"/>
            <w:vAlign w:val="center"/>
            <w:hideMark/>
          </w:tcPr>
          <w:p w14:paraId="1D28247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1, 4, 5, 7, 8, 10, 11, 12, 13, 16</w:t>
            </w:r>
          </w:p>
        </w:tc>
        <w:tc>
          <w:tcPr>
            <w:tcW w:w="432" w:type="pct"/>
            <w:tcBorders>
              <w:right w:val="single" w:sz="2" w:space="0" w:color="000000" w:themeColor="text1"/>
            </w:tcBorders>
            <w:vAlign w:val="center"/>
          </w:tcPr>
          <w:p w14:paraId="280AE77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1.1, 2.2, 2.3, 2.4, 2.5, 2.6, 3.1, 3.2, 3.5, 4.1, 4.2, 4.3, 4.4, 5.1, 5.2, 5.3, 6.1, 6.3</w:t>
            </w:r>
          </w:p>
        </w:tc>
      </w:tr>
      <w:tr w:rsidR="005A786E" w:rsidRPr="00965BAA" w14:paraId="19AEA150"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4A54A279"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 Women</w:t>
            </w:r>
          </w:p>
        </w:tc>
        <w:tc>
          <w:tcPr>
            <w:tcW w:w="2312" w:type="pct"/>
            <w:vAlign w:val="center"/>
            <w:hideMark/>
          </w:tcPr>
          <w:p w14:paraId="2BE9D8A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Human Resources and Social Development, National Family Safety Program, National Family Council, and Women Committee</w:t>
            </w:r>
          </w:p>
        </w:tc>
        <w:tc>
          <w:tcPr>
            <w:tcW w:w="528" w:type="pct"/>
            <w:noWrap/>
            <w:vAlign w:val="center"/>
            <w:hideMark/>
          </w:tcPr>
          <w:p w14:paraId="4528FFDE"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674" w:type="pct"/>
            <w:noWrap/>
            <w:vAlign w:val="center"/>
            <w:hideMark/>
          </w:tcPr>
          <w:p w14:paraId="50ECBDE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$7,150,000</w:t>
            </w:r>
          </w:p>
        </w:tc>
        <w:tc>
          <w:tcPr>
            <w:tcW w:w="575" w:type="pct"/>
            <w:vAlign w:val="center"/>
            <w:hideMark/>
          </w:tcPr>
          <w:p w14:paraId="253DB04B"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5, 8, 17</w:t>
            </w:r>
          </w:p>
        </w:tc>
        <w:tc>
          <w:tcPr>
            <w:tcW w:w="432" w:type="pct"/>
            <w:tcBorders>
              <w:right w:val="single" w:sz="2" w:space="0" w:color="000000" w:themeColor="text1"/>
            </w:tcBorders>
            <w:vAlign w:val="center"/>
          </w:tcPr>
          <w:p w14:paraId="4AA0E64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4.2, 5.2</w:t>
            </w:r>
          </w:p>
        </w:tc>
      </w:tr>
      <w:tr w:rsidR="005A786E" w:rsidRPr="00965BAA" w14:paraId="2CFF9DF6"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tcPr>
          <w:p w14:paraId="5B6F2F09"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UNCTAD</w:t>
            </w:r>
          </w:p>
        </w:tc>
        <w:tc>
          <w:tcPr>
            <w:tcW w:w="2312" w:type="pct"/>
            <w:vAlign w:val="center"/>
          </w:tcPr>
          <w:p w14:paraId="536C5638"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Culture, Ministry of Foreign Affairs, Ministry of Commerce, Ministry of Investment, and Authority for Intellectual Property</w:t>
            </w:r>
          </w:p>
        </w:tc>
        <w:tc>
          <w:tcPr>
            <w:tcW w:w="528" w:type="pct"/>
            <w:noWrap/>
            <w:vAlign w:val="center"/>
          </w:tcPr>
          <w:p w14:paraId="7E34760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74" w:type="pct"/>
            <w:noWrap/>
            <w:vAlign w:val="center"/>
          </w:tcPr>
          <w:p w14:paraId="3DA1335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$3,000,000</w:t>
            </w:r>
          </w:p>
        </w:tc>
        <w:tc>
          <w:tcPr>
            <w:tcW w:w="575" w:type="pct"/>
            <w:vAlign w:val="center"/>
          </w:tcPr>
          <w:p w14:paraId="6C3BD5B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w:t>
            </w:r>
          </w:p>
        </w:tc>
        <w:tc>
          <w:tcPr>
            <w:tcW w:w="432" w:type="pct"/>
            <w:tcBorders>
              <w:right w:val="single" w:sz="2" w:space="0" w:color="000000" w:themeColor="text1"/>
            </w:tcBorders>
            <w:vAlign w:val="center"/>
          </w:tcPr>
          <w:p w14:paraId="4E83AFE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4.3, 6.2</w:t>
            </w:r>
          </w:p>
        </w:tc>
      </w:tr>
      <w:tr w:rsidR="005A786E" w:rsidRPr="00965BAA" w14:paraId="46135D3C"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655BC1ED"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UNDP</w:t>
            </w:r>
          </w:p>
        </w:tc>
        <w:tc>
          <w:tcPr>
            <w:tcW w:w="2312" w:type="pct"/>
            <w:vAlign w:val="center"/>
            <w:hideMark/>
          </w:tcPr>
          <w:p w14:paraId="0C2B9FF4"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AlJanoub Local Women NGO in Aseer, Digital Cooperation Organization, Disability Centers, Electricity &amp; Cogeneration Regulatory Authority, Family Affairs Council, General Authority for Statistics, King Abdulaziz Center for National Dialogue, King Abdullah City for Atomic and Renewable Energy, Ministry of Communication and Information, Ministry of Economy and Planning, Ministry of Energy, Ministry of Environment, Water, and Agriculture, Ministry of Foreign Affairs, Ministry of Health, Ministry of Human Resources and Social Development, Ministry of Justice, Ministry of Municipal, Rural Affairs, and Housing, Ministry of Tourism, Ministry of Transportation, National Anti-corruption Commission, National Center for Performance Management, National Center of Wildlife, National Family Safety Program, Saudi Development and Reconstruction Program for Yemen, Saudi Electricity Company, Saudi Energy Efficiency Center, Saudi Food and Drug Authority</w:t>
            </w:r>
          </w:p>
        </w:tc>
        <w:tc>
          <w:tcPr>
            <w:tcW w:w="528" w:type="pct"/>
            <w:noWrap/>
            <w:vAlign w:val="center"/>
            <w:hideMark/>
          </w:tcPr>
          <w:p w14:paraId="00A41AF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w:t>
            </w:r>
          </w:p>
        </w:tc>
        <w:tc>
          <w:tcPr>
            <w:tcW w:w="674" w:type="pct"/>
            <w:noWrap/>
            <w:vAlign w:val="center"/>
            <w:hideMark/>
          </w:tcPr>
          <w:p w14:paraId="32AB994D"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$103,488,345</w:t>
            </w:r>
          </w:p>
        </w:tc>
        <w:tc>
          <w:tcPr>
            <w:tcW w:w="575" w:type="pct"/>
            <w:vAlign w:val="center"/>
            <w:hideMark/>
          </w:tcPr>
          <w:p w14:paraId="7C24E67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3, 5, 6, 7, 8, 10, 11, 13, 14, 15, 16, 17</w:t>
            </w:r>
          </w:p>
        </w:tc>
        <w:tc>
          <w:tcPr>
            <w:tcW w:w="432" w:type="pct"/>
            <w:tcBorders>
              <w:right w:val="single" w:sz="2" w:space="0" w:color="000000" w:themeColor="text1"/>
            </w:tcBorders>
            <w:vAlign w:val="center"/>
          </w:tcPr>
          <w:p w14:paraId="2EA9E06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1.3, 2.1, 2.3, 2.4, 3.1, 3.2, 3.3, 3.5, 3.7, 4.2, 4.3, 4.4, 5.2, 6.2</w:t>
            </w:r>
          </w:p>
        </w:tc>
      </w:tr>
      <w:tr w:rsidR="005A786E" w:rsidRPr="00965BAA" w14:paraId="5E68DD8F"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6FECA401"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UNEP</w:t>
            </w:r>
          </w:p>
        </w:tc>
        <w:tc>
          <w:tcPr>
            <w:tcW w:w="2312" w:type="pct"/>
            <w:vAlign w:val="center"/>
            <w:hideMark/>
          </w:tcPr>
          <w:p w14:paraId="645CB911"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Environment, Water, and Agriculture, National Center for Environmental Compliance, National Center of Wildlife</w:t>
            </w:r>
          </w:p>
        </w:tc>
        <w:tc>
          <w:tcPr>
            <w:tcW w:w="528" w:type="pct"/>
            <w:noWrap/>
            <w:vAlign w:val="center"/>
            <w:hideMark/>
          </w:tcPr>
          <w:p w14:paraId="5434A10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12</w:t>
            </w:r>
          </w:p>
        </w:tc>
        <w:tc>
          <w:tcPr>
            <w:tcW w:w="674" w:type="pct"/>
            <w:noWrap/>
            <w:vAlign w:val="center"/>
            <w:hideMark/>
          </w:tcPr>
          <w:p w14:paraId="0211AFC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$25,536,000</w:t>
            </w:r>
          </w:p>
        </w:tc>
        <w:tc>
          <w:tcPr>
            <w:tcW w:w="575" w:type="pct"/>
            <w:vAlign w:val="center"/>
            <w:hideMark/>
          </w:tcPr>
          <w:p w14:paraId="7B914E4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2, 3, 12</w:t>
            </w:r>
          </w:p>
        </w:tc>
        <w:tc>
          <w:tcPr>
            <w:tcW w:w="432" w:type="pct"/>
            <w:tcBorders>
              <w:right w:val="single" w:sz="2" w:space="0" w:color="000000" w:themeColor="text1"/>
            </w:tcBorders>
            <w:vAlign w:val="center"/>
          </w:tcPr>
          <w:p w14:paraId="107472E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r>
      <w:tr w:rsidR="005A786E" w:rsidRPr="00965BAA" w14:paraId="07B4E434"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7808A863"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UNESCO</w:t>
            </w:r>
          </w:p>
        </w:tc>
        <w:tc>
          <w:tcPr>
            <w:tcW w:w="2312" w:type="pct"/>
            <w:vAlign w:val="center"/>
            <w:hideMark/>
          </w:tcPr>
          <w:p w14:paraId="7F30DE50"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Culture, Ministry of Education, National Center of Wildlife, Royal Commission for AlUla, Saudi Heritage Preservation Society, Sultan bin Abdulaziz Al Saud Foundation</w:t>
            </w:r>
          </w:p>
        </w:tc>
        <w:tc>
          <w:tcPr>
            <w:tcW w:w="528" w:type="pct"/>
            <w:noWrap/>
            <w:vAlign w:val="center"/>
            <w:hideMark/>
          </w:tcPr>
          <w:p w14:paraId="10CDA91D"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w:t>
            </w:r>
          </w:p>
        </w:tc>
        <w:tc>
          <w:tcPr>
            <w:tcW w:w="674" w:type="pct"/>
            <w:noWrap/>
            <w:vAlign w:val="center"/>
            <w:hideMark/>
          </w:tcPr>
          <w:p w14:paraId="3CDD6F5D"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$31,840,000</w:t>
            </w:r>
          </w:p>
        </w:tc>
        <w:tc>
          <w:tcPr>
            <w:tcW w:w="575" w:type="pct"/>
            <w:vAlign w:val="center"/>
            <w:hideMark/>
          </w:tcPr>
          <w:p w14:paraId="1606149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4, 8, 11, 15</w:t>
            </w:r>
          </w:p>
        </w:tc>
        <w:tc>
          <w:tcPr>
            <w:tcW w:w="432" w:type="pct"/>
            <w:tcBorders>
              <w:right w:val="single" w:sz="2" w:space="0" w:color="000000" w:themeColor="text1"/>
            </w:tcBorders>
            <w:vAlign w:val="center"/>
          </w:tcPr>
          <w:p w14:paraId="025165A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1.3, 2.4, 2.5, 4.1</w:t>
            </w:r>
          </w:p>
        </w:tc>
      </w:tr>
      <w:tr w:rsidR="005A786E" w:rsidRPr="00965BAA" w14:paraId="6D33FB1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41A34508"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UNFPA</w:t>
            </w:r>
          </w:p>
        </w:tc>
        <w:tc>
          <w:tcPr>
            <w:tcW w:w="2312" w:type="pct"/>
            <w:vAlign w:val="center"/>
            <w:hideMark/>
          </w:tcPr>
          <w:p w14:paraId="2F9C1FD6"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General Authority for Statistics, Ministry of Economy and Planning, Ministry of Health, Ministry of Human Resources and Social Development, Ministry of Sports, National Family Safety Program</w:t>
            </w:r>
          </w:p>
        </w:tc>
        <w:tc>
          <w:tcPr>
            <w:tcW w:w="528" w:type="pct"/>
            <w:noWrap/>
            <w:vAlign w:val="center"/>
            <w:hideMark/>
          </w:tcPr>
          <w:p w14:paraId="137E1A6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w:t>
            </w:r>
          </w:p>
        </w:tc>
        <w:tc>
          <w:tcPr>
            <w:tcW w:w="674" w:type="pct"/>
            <w:noWrap/>
            <w:vAlign w:val="center"/>
            <w:hideMark/>
          </w:tcPr>
          <w:p w14:paraId="67C89E9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$432,000</w:t>
            </w:r>
          </w:p>
        </w:tc>
        <w:tc>
          <w:tcPr>
            <w:tcW w:w="575" w:type="pct"/>
            <w:vAlign w:val="center"/>
            <w:hideMark/>
          </w:tcPr>
          <w:p w14:paraId="1678DC4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1, 3, 4, 5, 8, 11, 17</w:t>
            </w:r>
          </w:p>
        </w:tc>
        <w:tc>
          <w:tcPr>
            <w:tcW w:w="432" w:type="pct"/>
            <w:tcBorders>
              <w:right w:val="single" w:sz="2" w:space="0" w:color="000000" w:themeColor="text1"/>
            </w:tcBorders>
            <w:vAlign w:val="center"/>
          </w:tcPr>
          <w:p w14:paraId="35A745F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1.1, 2.1, 2.6, 4.1, 4.2, 4.3, 5.2</w:t>
            </w:r>
          </w:p>
        </w:tc>
      </w:tr>
      <w:tr w:rsidR="005A786E" w:rsidRPr="00965BAA" w14:paraId="4712B5F7"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7E34331C"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UNHCR</w:t>
            </w:r>
          </w:p>
        </w:tc>
        <w:tc>
          <w:tcPr>
            <w:tcW w:w="2312" w:type="pct"/>
            <w:vAlign w:val="center"/>
            <w:hideMark/>
          </w:tcPr>
          <w:p w14:paraId="3399BB53"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Foreign Affairs, Naif Arab University for Security Sciences, National Family Safety Program, &amp; Saudi Human Rights Commission</w:t>
            </w:r>
          </w:p>
        </w:tc>
        <w:tc>
          <w:tcPr>
            <w:tcW w:w="528" w:type="pct"/>
            <w:noWrap/>
            <w:vAlign w:val="center"/>
            <w:hideMark/>
          </w:tcPr>
          <w:p w14:paraId="2BB4264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w:t>
            </w:r>
          </w:p>
        </w:tc>
        <w:tc>
          <w:tcPr>
            <w:tcW w:w="674" w:type="pct"/>
            <w:noWrap/>
            <w:vAlign w:val="center"/>
            <w:hideMark/>
          </w:tcPr>
          <w:p w14:paraId="392C9A47"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$150,000</w:t>
            </w:r>
          </w:p>
        </w:tc>
        <w:tc>
          <w:tcPr>
            <w:tcW w:w="575" w:type="pct"/>
            <w:vAlign w:val="center"/>
            <w:hideMark/>
          </w:tcPr>
          <w:p w14:paraId="7F2769A2"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3, 5, 10, 16</w:t>
            </w:r>
          </w:p>
        </w:tc>
        <w:tc>
          <w:tcPr>
            <w:tcW w:w="432" w:type="pct"/>
            <w:tcBorders>
              <w:right w:val="single" w:sz="2" w:space="0" w:color="000000" w:themeColor="text1"/>
            </w:tcBorders>
            <w:vAlign w:val="center"/>
          </w:tcPr>
          <w:p w14:paraId="260C75DF"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w:t>
            </w:r>
          </w:p>
        </w:tc>
      </w:tr>
      <w:tr w:rsidR="005A786E" w:rsidRPr="00965BAA" w14:paraId="036FBF5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tcPr>
          <w:p w14:paraId="33DBA949" w14:textId="77777777" w:rsidR="005A786E" w:rsidRPr="00965BAA" w:rsidRDefault="005A786E" w:rsidP="005A5556">
            <w:pPr>
              <w:jc w:val="center"/>
              <w:rPr>
                <w:rFonts w:ascii="Roboto" w:hAnsi="Roboto" w:cs="Calibri"/>
                <w:b w:val="0"/>
                <w:bCs w:val="0"/>
                <w:caps w:val="0"/>
                <w:color w:val="404040" w:themeColor="text1" w:themeTint="BF"/>
                <w:sz w:val="15"/>
                <w:szCs w:val="15"/>
                <w:lang w:val="en-GB"/>
              </w:rPr>
            </w:pPr>
          </w:p>
          <w:p w14:paraId="0CFA2639" w14:textId="77777777" w:rsidR="005A786E" w:rsidRPr="00965BAA" w:rsidRDefault="005A786E" w:rsidP="005A5556">
            <w:pPr>
              <w:jc w:val="center"/>
              <w:rPr>
                <w:rFonts w:ascii="Roboto" w:hAnsi="Roboto" w:cs="Calibri"/>
                <w:b w:val="0"/>
                <w:bCs w:val="0"/>
                <w:caps w:val="0"/>
                <w:color w:val="404040" w:themeColor="text1" w:themeTint="BF"/>
                <w:sz w:val="15"/>
                <w:szCs w:val="15"/>
                <w:lang w:val="en-GB"/>
              </w:rPr>
            </w:pPr>
          </w:p>
          <w:p w14:paraId="7398FDDE"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lastRenderedPageBreak/>
              <w:t>AFP</w:t>
            </w:r>
          </w:p>
        </w:tc>
        <w:tc>
          <w:tcPr>
            <w:tcW w:w="2312" w:type="pct"/>
            <w:vAlign w:val="center"/>
          </w:tcPr>
          <w:p w14:paraId="4F50317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5285CFB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lastRenderedPageBreak/>
              <w:t>Partner(s)</w:t>
            </w:r>
          </w:p>
        </w:tc>
        <w:tc>
          <w:tcPr>
            <w:tcW w:w="528" w:type="pct"/>
            <w:noWrap/>
            <w:vAlign w:val="center"/>
          </w:tcPr>
          <w:p w14:paraId="727F39A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15D3E47C"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lastRenderedPageBreak/>
              <w:t>Number of Activities</w:t>
            </w:r>
          </w:p>
        </w:tc>
        <w:tc>
          <w:tcPr>
            <w:tcW w:w="674" w:type="pct"/>
            <w:noWrap/>
            <w:vAlign w:val="center"/>
          </w:tcPr>
          <w:p w14:paraId="7CF125A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4A3EC293"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lastRenderedPageBreak/>
              <w:t>Total Estimated Cost</w:t>
            </w:r>
          </w:p>
        </w:tc>
        <w:tc>
          <w:tcPr>
            <w:tcW w:w="575" w:type="pct"/>
            <w:vAlign w:val="center"/>
          </w:tcPr>
          <w:p w14:paraId="64BB56B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01FBB2F5"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300D251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lastRenderedPageBreak/>
              <w:t>SDGs</w:t>
            </w:r>
          </w:p>
        </w:tc>
        <w:tc>
          <w:tcPr>
            <w:tcW w:w="432" w:type="pct"/>
            <w:tcBorders>
              <w:right w:val="single" w:sz="2" w:space="0" w:color="000000" w:themeColor="text1"/>
            </w:tcBorders>
            <w:vAlign w:val="center"/>
          </w:tcPr>
          <w:p w14:paraId="0355A7A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p w14:paraId="080D5B2F"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lastRenderedPageBreak/>
              <w:t>Vision (Level 2)</w:t>
            </w:r>
          </w:p>
        </w:tc>
      </w:tr>
      <w:tr w:rsidR="005A786E" w:rsidRPr="00965BAA" w14:paraId="4F090CF3"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710B4477"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lastRenderedPageBreak/>
              <w:t>UNICEF</w:t>
            </w:r>
          </w:p>
        </w:tc>
        <w:tc>
          <w:tcPr>
            <w:tcW w:w="2312" w:type="pct"/>
            <w:vAlign w:val="center"/>
            <w:hideMark/>
          </w:tcPr>
          <w:p w14:paraId="584E725B"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Family Affairs Council, General Authority for Statistics, Ministry of Education, Ministry of Foreign Affairs, Ministry of Health, Ministry of Human Resources and Social Development, National Committee for Mental Health Promotion, National Family Safety Program, Saudi Human Rights Commission</w:t>
            </w:r>
          </w:p>
        </w:tc>
        <w:tc>
          <w:tcPr>
            <w:tcW w:w="528" w:type="pct"/>
            <w:noWrap/>
            <w:vAlign w:val="center"/>
            <w:hideMark/>
          </w:tcPr>
          <w:p w14:paraId="5485E0E7"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w:t>
            </w:r>
          </w:p>
        </w:tc>
        <w:tc>
          <w:tcPr>
            <w:tcW w:w="674" w:type="pct"/>
            <w:noWrap/>
            <w:vAlign w:val="center"/>
            <w:hideMark/>
          </w:tcPr>
          <w:p w14:paraId="2F11E193"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$5,250,000</w:t>
            </w:r>
          </w:p>
        </w:tc>
        <w:tc>
          <w:tcPr>
            <w:tcW w:w="575" w:type="pct"/>
            <w:vAlign w:val="center"/>
            <w:hideMark/>
          </w:tcPr>
          <w:p w14:paraId="5C078E3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1, 3, 4, 10, 11, 17</w:t>
            </w:r>
          </w:p>
        </w:tc>
        <w:tc>
          <w:tcPr>
            <w:tcW w:w="432" w:type="pct"/>
            <w:tcBorders>
              <w:right w:val="single" w:sz="2" w:space="0" w:color="000000" w:themeColor="text1"/>
            </w:tcBorders>
            <w:vAlign w:val="center"/>
          </w:tcPr>
          <w:p w14:paraId="28E75DDF"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1.1, 1.3, 2.1, 2.3, 2.6, 4.1, 5.2</w:t>
            </w:r>
          </w:p>
        </w:tc>
      </w:tr>
      <w:tr w:rsidR="005A786E" w:rsidRPr="00965BAA" w14:paraId="5C27F527"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2942B76C"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UNIDO</w:t>
            </w:r>
          </w:p>
        </w:tc>
        <w:tc>
          <w:tcPr>
            <w:tcW w:w="2312" w:type="pct"/>
            <w:vAlign w:val="center"/>
            <w:hideMark/>
          </w:tcPr>
          <w:p w14:paraId="7F836859"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General Authority for Statistics, National Industrial Clusters Development Program, Presidency of Meteorology and Environment, Saudi Green Initiative</w:t>
            </w:r>
          </w:p>
          <w:p w14:paraId="6F470E6C"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tc>
        <w:tc>
          <w:tcPr>
            <w:tcW w:w="528" w:type="pct"/>
            <w:noWrap/>
            <w:vAlign w:val="center"/>
            <w:hideMark/>
          </w:tcPr>
          <w:p w14:paraId="14013B4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w:t>
            </w:r>
          </w:p>
        </w:tc>
        <w:tc>
          <w:tcPr>
            <w:tcW w:w="674" w:type="pct"/>
            <w:noWrap/>
            <w:vAlign w:val="center"/>
            <w:hideMark/>
          </w:tcPr>
          <w:p w14:paraId="0E4ABD0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$6,973,465</w:t>
            </w:r>
          </w:p>
        </w:tc>
        <w:tc>
          <w:tcPr>
            <w:tcW w:w="575" w:type="pct"/>
            <w:vAlign w:val="center"/>
            <w:hideMark/>
          </w:tcPr>
          <w:p w14:paraId="6442608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9, 13, 17</w:t>
            </w:r>
          </w:p>
        </w:tc>
        <w:tc>
          <w:tcPr>
            <w:tcW w:w="432" w:type="pct"/>
            <w:tcBorders>
              <w:right w:val="single" w:sz="2" w:space="0" w:color="000000" w:themeColor="text1"/>
            </w:tcBorders>
            <w:vAlign w:val="center"/>
          </w:tcPr>
          <w:p w14:paraId="617EE51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2.4, 3.3, 4.3, 5.2</w:t>
            </w:r>
          </w:p>
        </w:tc>
      </w:tr>
      <w:tr w:rsidR="005A786E" w:rsidRPr="00965BAA" w14:paraId="20D8526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03F4C9CA"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UNODC</w:t>
            </w:r>
          </w:p>
        </w:tc>
        <w:tc>
          <w:tcPr>
            <w:tcW w:w="2312" w:type="pct"/>
            <w:vAlign w:val="center"/>
            <w:hideMark/>
          </w:tcPr>
          <w:p w14:paraId="60EDFE1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Anti-Money Laundering Permanent Committee, General Directorate of Border Guard, Ministry of Economy and Planning, Ministry of Education, Ministry of Health, Ministry of Human Resources and Social Development, Ministry of Interior, Ministry of Justice, Ministry of Municipal, Rural Affairs, and Housing, Ministry of Sports, Mohammed bin Nayef Counselling and Care Center, Naif Arab University for Security Sciences, National Anti-corruption Commission, National Committee for Narcotics Control, National Committee to Combat Trafficking, National Family Safety Program, Saudi Arabia Financial Investigation Unit, Saudi Bar Association, Saudi Central Bank, Saudi Customs, Saudi Human Rights Commission, The Public Prosecution</w:t>
            </w:r>
          </w:p>
        </w:tc>
        <w:tc>
          <w:tcPr>
            <w:tcW w:w="528" w:type="pct"/>
            <w:noWrap/>
            <w:vAlign w:val="center"/>
            <w:hideMark/>
          </w:tcPr>
          <w:p w14:paraId="2539523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20</w:t>
            </w:r>
          </w:p>
        </w:tc>
        <w:tc>
          <w:tcPr>
            <w:tcW w:w="674" w:type="pct"/>
            <w:noWrap/>
            <w:vAlign w:val="center"/>
            <w:hideMark/>
          </w:tcPr>
          <w:p w14:paraId="23138848"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$46,325,000</w:t>
            </w:r>
          </w:p>
        </w:tc>
        <w:tc>
          <w:tcPr>
            <w:tcW w:w="575" w:type="pct"/>
            <w:vAlign w:val="center"/>
            <w:hideMark/>
          </w:tcPr>
          <w:p w14:paraId="3F600181"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3, 4, 5, 8, 11, 16</w:t>
            </w:r>
          </w:p>
        </w:tc>
        <w:tc>
          <w:tcPr>
            <w:tcW w:w="432" w:type="pct"/>
            <w:tcBorders>
              <w:right w:val="single" w:sz="2" w:space="0" w:color="000000" w:themeColor="text1"/>
            </w:tcBorders>
            <w:vAlign w:val="center"/>
          </w:tcPr>
          <w:p w14:paraId="6126996A"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1.1, 1.3, 2.1, 2.3, 2.6, 3.1, 3.3, 3.5, 3.6, 3.7, 4.1, 4.2, 4.3, 4.4, 5.1, 5.2, 5.3, 6.2, 6.3</w:t>
            </w:r>
          </w:p>
        </w:tc>
      </w:tr>
      <w:tr w:rsidR="005A786E" w:rsidRPr="00965BAA" w14:paraId="5524C5B4"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25DDD332"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UNWTO</w:t>
            </w:r>
          </w:p>
        </w:tc>
        <w:tc>
          <w:tcPr>
            <w:tcW w:w="2312" w:type="pct"/>
            <w:vAlign w:val="center"/>
            <w:hideMark/>
          </w:tcPr>
          <w:p w14:paraId="49FBEB39"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Tourism</w:t>
            </w:r>
          </w:p>
        </w:tc>
        <w:tc>
          <w:tcPr>
            <w:tcW w:w="528" w:type="pct"/>
            <w:noWrap/>
            <w:vAlign w:val="center"/>
            <w:hideMark/>
          </w:tcPr>
          <w:p w14:paraId="607BBD2D"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74" w:type="pct"/>
            <w:noWrap/>
            <w:vAlign w:val="center"/>
            <w:hideMark/>
          </w:tcPr>
          <w:p w14:paraId="06154E87"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575" w:type="pct"/>
            <w:vAlign w:val="center"/>
            <w:hideMark/>
          </w:tcPr>
          <w:p w14:paraId="7A724916"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432" w:type="pct"/>
            <w:tcBorders>
              <w:right w:val="single" w:sz="2" w:space="0" w:color="000000" w:themeColor="text1"/>
            </w:tcBorders>
            <w:vAlign w:val="center"/>
          </w:tcPr>
          <w:p w14:paraId="0D6ACC1A"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3.3, 4.1, 4.2, 4.3</w:t>
            </w:r>
          </w:p>
        </w:tc>
      </w:tr>
      <w:tr w:rsidR="005A786E" w:rsidRPr="00965BAA" w14:paraId="201FFEE9"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tcBorders>
            <w:vAlign w:val="center"/>
            <w:hideMark/>
          </w:tcPr>
          <w:p w14:paraId="7EC1766F"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WHO</w:t>
            </w:r>
          </w:p>
        </w:tc>
        <w:tc>
          <w:tcPr>
            <w:tcW w:w="2312" w:type="pct"/>
            <w:vAlign w:val="center"/>
            <w:hideMark/>
          </w:tcPr>
          <w:p w14:paraId="5EE97DAD"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Ministry of Health, Saudi Food and Drug Authority, Saudi Health Council</w:t>
            </w:r>
          </w:p>
        </w:tc>
        <w:tc>
          <w:tcPr>
            <w:tcW w:w="528" w:type="pct"/>
            <w:noWrap/>
            <w:vAlign w:val="center"/>
            <w:hideMark/>
          </w:tcPr>
          <w:p w14:paraId="3E8751B4"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20</w:t>
            </w:r>
          </w:p>
        </w:tc>
        <w:tc>
          <w:tcPr>
            <w:tcW w:w="674" w:type="pct"/>
            <w:noWrap/>
            <w:vAlign w:val="center"/>
            <w:hideMark/>
          </w:tcPr>
          <w:p w14:paraId="685649E5"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575" w:type="pct"/>
            <w:vAlign w:val="center"/>
            <w:hideMark/>
          </w:tcPr>
          <w:p w14:paraId="515DB86C"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2, 3</w:t>
            </w:r>
          </w:p>
        </w:tc>
        <w:tc>
          <w:tcPr>
            <w:tcW w:w="432" w:type="pct"/>
            <w:tcBorders>
              <w:right w:val="single" w:sz="2" w:space="0" w:color="000000" w:themeColor="text1"/>
            </w:tcBorders>
            <w:vAlign w:val="center"/>
          </w:tcPr>
          <w:p w14:paraId="1378E619" w14:textId="77777777" w:rsidR="005A786E" w:rsidRPr="00965BAA" w:rsidRDefault="005A786E"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1.2, 2.1</w:t>
            </w:r>
          </w:p>
        </w:tc>
      </w:tr>
      <w:tr w:rsidR="005A786E" w:rsidRPr="00965BAA" w14:paraId="1E7C1E3C"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9" w:type="pct"/>
            <w:tcBorders>
              <w:left w:val="single" w:sz="2" w:space="0" w:color="000000" w:themeColor="text1"/>
              <w:bottom w:val="single" w:sz="2" w:space="0" w:color="000000" w:themeColor="text1"/>
            </w:tcBorders>
            <w:vAlign w:val="center"/>
            <w:hideMark/>
          </w:tcPr>
          <w:p w14:paraId="06830278"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Total</w:t>
            </w:r>
          </w:p>
        </w:tc>
        <w:tc>
          <w:tcPr>
            <w:tcW w:w="2312" w:type="pct"/>
            <w:tcBorders>
              <w:bottom w:val="single" w:sz="2" w:space="0" w:color="000000" w:themeColor="text1"/>
            </w:tcBorders>
            <w:hideMark/>
          </w:tcPr>
          <w:p w14:paraId="6B02768E"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528" w:type="pct"/>
            <w:tcBorders>
              <w:bottom w:val="single" w:sz="2" w:space="0" w:color="000000" w:themeColor="text1"/>
            </w:tcBorders>
            <w:noWrap/>
            <w:vAlign w:val="center"/>
            <w:hideMark/>
          </w:tcPr>
          <w:p w14:paraId="588B11EE"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212</w:t>
            </w:r>
          </w:p>
        </w:tc>
        <w:tc>
          <w:tcPr>
            <w:tcW w:w="674" w:type="pct"/>
            <w:tcBorders>
              <w:bottom w:val="single" w:sz="2" w:space="0" w:color="000000" w:themeColor="text1"/>
            </w:tcBorders>
            <w:noWrap/>
            <w:vAlign w:val="center"/>
            <w:hideMark/>
          </w:tcPr>
          <w:p w14:paraId="6A3BCA79"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$346,032,693*</w:t>
            </w:r>
          </w:p>
        </w:tc>
        <w:tc>
          <w:tcPr>
            <w:tcW w:w="575" w:type="pct"/>
            <w:tcBorders>
              <w:bottom w:val="single" w:sz="2" w:space="0" w:color="000000" w:themeColor="text1"/>
            </w:tcBorders>
            <w:hideMark/>
          </w:tcPr>
          <w:p w14:paraId="12D37D32"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432" w:type="pct"/>
            <w:tcBorders>
              <w:bottom w:val="single" w:sz="2" w:space="0" w:color="000000" w:themeColor="text1"/>
              <w:right w:val="single" w:sz="2" w:space="0" w:color="000000" w:themeColor="text1"/>
            </w:tcBorders>
            <w:vAlign w:val="center"/>
          </w:tcPr>
          <w:p w14:paraId="56769698"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r>
    </w:tbl>
    <w:p w14:paraId="1AA0B58C" w14:textId="48EAE13B" w:rsidR="005A786E" w:rsidRPr="00965BAA" w:rsidRDefault="005A786E" w:rsidP="005A786E">
      <w:pPr>
        <w:rPr>
          <w:rFonts w:ascii="Roboto" w:hAnsi="Roboto" w:cs="Calibri"/>
          <w:color w:val="404040" w:themeColor="text1" w:themeTint="BF"/>
          <w:sz w:val="18"/>
          <w:szCs w:val="18"/>
          <w:lang w:val="en-GB"/>
        </w:rPr>
      </w:pPr>
      <w:r w:rsidRPr="00965BAA">
        <w:rPr>
          <w:rFonts w:ascii="Roboto" w:hAnsi="Roboto" w:cs="Calibri"/>
          <w:color w:val="404040" w:themeColor="text1" w:themeTint="BF"/>
          <w:sz w:val="18"/>
          <w:szCs w:val="18"/>
          <w:lang w:val="en-GB"/>
        </w:rPr>
        <w:t xml:space="preserve">* This implies that an estimated cost was not provided by an AFP (in the case of WHO and UNWTO, no financial estimates were provided). The SDGs and </w:t>
      </w:r>
      <w:r w:rsidR="00E719CA" w:rsidRPr="00E719CA">
        <w:rPr>
          <w:rFonts w:ascii="Roboto" w:hAnsi="Roboto" w:cs="Calibri"/>
          <w:color w:val="404040" w:themeColor="text1" w:themeTint="BF"/>
          <w:sz w:val="18"/>
          <w:szCs w:val="18"/>
          <w:lang w:val="en-GB"/>
        </w:rPr>
        <w:t xml:space="preserve">KSA’s </w:t>
      </w:r>
      <w:r w:rsidRPr="00965BAA">
        <w:rPr>
          <w:rFonts w:ascii="Roboto" w:hAnsi="Roboto" w:cs="Calibri"/>
          <w:color w:val="404040" w:themeColor="text1" w:themeTint="BF"/>
          <w:sz w:val="18"/>
          <w:szCs w:val="18"/>
          <w:lang w:val="en-GB"/>
        </w:rPr>
        <w:t>Vision 2030 Level 2 ‘branch objectives’ include all those that were linked to the UN activity (as a primary link or secondary connection). </w:t>
      </w:r>
    </w:p>
    <w:p w14:paraId="226175DB" w14:textId="77777777" w:rsidR="005A786E" w:rsidRPr="00965BAA" w:rsidRDefault="005A786E" w:rsidP="005A786E">
      <w:pPr>
        <w:rPr>
          <w:rFonts w:ascii="Roboto" w:hAnsi="Roboto"/>
          <w:b/>
          <w:bCs/>
          <w:color w:val="404040" w:themeColor="text1" w:themeTint="BF"/>
          <w:lang w:val="en-GB"/>
        </w:rPr>
      </w:pPr>
    </w:p>
    <w:p w14:paraId="0FF31CAA"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 xml:space="preserve">The above table indicates that the 25 UNDP activities slated for the KSA in the 2022 to 2026 period are estimated to require the largest financial commitment at $103,488,345 – 30% of the total cost of UN activities during that time. The second and third largest financial commitments are linked to the FAO and UNODC at $69,222,224 and $46,325,000, respectively. Together, these three AFPs are poised to receive 63% of the total UN activity funding estimated for the period of the UNSDCF. </w:t>
      </w:r>
    </w:p>
    <w:p w14:paraId="7C9F71E2" w14:textId="77777777" w:rsidR="005A786E" w:rsidRPr="00965BAA" w:rsidRDefault="005A786E" w:rsidP="005A786E">
      <w:pPr>
        <w:jc w:val="both"/>
        <w:rPr>
          <w:rFonts w:ascii="Roboto" w:hAnsi="Roboto"/>
          <w:color w:val="404040" w:themeColor="text1" w:themeTint="BF"/>
          <w:sz w:val="21"/>
          <w:szCs w:val="21"/>
          <w:lang w:val="en-GB"/>
        </w:rPr>
      </w:pPr>
    </w:p>
    <w:p w14:paraId="0BE0D9ED" w14:textId="77777777" w:rsidR="005A786E" w:rsidRPr="00965BAA" w:rsidRDefault="005A786E" w:rsidP="005A786E">
      <w:pPr>
        <w:jc w:val="both"/>
        <w:rPr>
          <w:rFonts w:ascii="Roboto" w:hAnsi="Roboto"/>
          <w:color w:val="404040" w:themeColor="text1" w:themeTint="BF"/>
          <w:sz w:val="21"/>
          <w:szCs w:val="21"/>
          <w:lang w:val="en-GB"/>
        </w:rPr>
      </w:pPr>
      <w:r w:rsidRPr="00965BAA">
        <w:rPr>
          <w:rFonts w:ascii="Roboto" w:hAnsi="Roboto"/>
          <w:color w:val="404040" w:themeColor="text1" w:themeTint="BF"/>
          <w:sz w:val="21"/>
          <w:szCs w:val="21"/>
          <w:lang w:val="en-GB"/>
        </w:rPr>
        <w:t>In terms of UNICEF, it supports 31 activities – the most of all AFPs. The IOM has a similar number of commitments, supporting 30 UN activities over the 2022 to 2026 period. The UNDP is associated with the third most activities, at 25. Together, these AFPs are attached to 41% of UN activities in the KSA for the period of the UNSDCF.</w:t>
      </w:r>
    </w:p>
    <w:p w14:paraId="4C14FF16" w14:textId="77777777" w:rsidR="005A786E" w:rsidRPr="00965BAA" w:rsidRDefault="005A786E" w:rsidP="005A786E">
      <w:pPr>
        <w:rPr>
          <w:rFonts w:ascii="Roboto" w:hAnsi="Roboto"/>
          <w:b/>
          <w:bCs/>
          <w:color w:val="404040" w:themeColor="text1" w:themeTint="BF"/>
          <w:lang w:val="en-GB"/>
        </w:rPr>
      </w:pPr>
    </w:p>
    <w:tbl>
      <w:tblPr>
        <w:tblStyle w:val="PlainTable3"/>
        <w:tblW w:w="5191" w:type="pct"/>
        <w:jc w:val="center"/>
        <w:tblLayout w:type="fixed"/>
        <w:tblLook w:val="04A0" w:firstRow="1" w:lastRow="0" w:firstColumn="1" w:lastColumn="0" w:noHBand="0" w:noVBand="1"/>
      </w:tblPr>
      <w:tblGrid>
        <w:gridCol w:w="1889"/>
        <w:gridCol w:w="1853"/>
        <w:gridCol w:w="1062"/>
        <w:gridCol w:w="1192"/>
        <w:gridCol w:w="961"/>
        <w:gridCol w:w="2411"/>
      </w:tblGrid>
      <w:tr w:rsidR="005A786E" w:rsidRPr="00965BAA" w14:paraId="53CE7EF9" w14:textId="77777777" w:rsidTr="005A55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vAlign w:val="center"/>
          </w:tcPr>
          <w:p w14:paraId="5C8ACC5A" w14:textId="77777777" w:rsidR="005A786E" w:rsidRPr="00965BAA" w:rsidRDefault="005A786E" w:rsidP="005A5556">
            <w:pPr>
              <w:spacing w:before="120" w:after="120"/>
              <w:ind w:left="144"/>
              <w:rPr>
                <w:rFonts w:ascii="Roboto" w:hAnsi="Roboto" w:cs="Calibri"/>
                <w:color w:val="404040" w:themeColor="text1" w:themeTint="BF"/>
                <w:sz w:val="22"/>
                <w:szCs w:val="22"/>
                <w:lang w:val="en-GB"/>
              </w:rPr>
            </w:pPr>
            <w:r w:rsidRPr="00965BAA">
              <w:rPr>
                <w:rFonts w:ascii="Roboto" w:hAnsi="Roboto" w:cs="Calibri"/>
                <w:color w:val="404040" w:themeColor="text1" w:themeTint="BF"/>
                <w:sz w:val="22"/>
                <w:szCs w:val="22"/>
                <w:lang w:val="en-GB"/>
              </w:rPr>
              <w:t xml:space="preserve">Table </w:t>
            </w:r>
            <w:r>
              <w:rPr>
                <w:rFonts w:ascii="Roboto" w:hAnsi="Roboto" w:cs="Calibri"/>
                <w:color w:val="404040" w:themeColor="text1" w:themeTint="BF"/>
                <w:sz w:val="22"/>
                <w:szCs w:val="22"/>
                <w:lang w:val="en-GB"/>
              </w:rPr>
              <w:t>B</w:t>
            </w:r>
            <w:r w:rsidRPr="00965BAA">
              <w:rPr>
                <w:rFonts w:ascii="Roboto" w:hAnsi="Roboto" w:cs="Calibri"/>
                <w:color w:val="404040" w:themeColor="text1" w:themeTint="BF"/>
                <w:sz w:val="22"/>
                <w:szCs w:val="22"/>
                <w:lang w:val="en-GB"/>
              </w:rPr>
              <w:t>.6 un activities by main governmental partner</w:t>
            </w:r>
          </w:p>
        </w:tc>
      </w:tr>
      <w:tr w:rsidR="005A786E" w:rsidRPr="00965BAA" w14:paraId="50E1FAE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top w:val="single" w:sz="2" w:space="0" w:color="000000" w:themeColor="text1"/>
              <w:left w:val="single" w:sz="2" w:space="0" w:color="000000" w:themeColor="text1"/>
            </w:tcBorders>
            <w:vAlign w:val="center"/>
            <w:hideMark/>
          </w:tcPr>
          <w:p w14:paraId="33E9EDF9" w14:textId="77777777" w:rsidR="005A786E" w:rsidRPr="00965BAA" w:rsidRDefault="005A786E" w:rsidP="005A5556">
            <w:pPr>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main governmental partner</w:t>
            </w:r>
          </w:p>
        </w:tc>
        <w:tc>
          <w:tcPr>
            <w:tcW w:w="989" w:type="pct"/>
            <w:tcBorders>
              <w:top w:val="single" w:sz="2" w:space="0" w:color="000000" w:themeColor="text1"/>
            </w:tcBorders>
            <w:vAlign w:val="center"/>
            <w:hideMark/>
          </w:tcPr>
          <w:p w14:paraId="305B494B"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AFP(s)</w:t>
            </w:r>
          </w:p>
        </w:tc>
        <w:tc>
          <w:tcPr>
            <w:tcW w:w="567" w:type="pct"/>
            <w:tcBorders>
              <w:top w:val="single" w:sz="2" w:space="0" w:color="000000" w:themeColor="text1"/>
            </w:tcBorders>
            <w:vAlign w:val="center"/>
            <w:hideMark/>
          </w:tcPr>
          <w:p w14:paraId="391781F0"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Number of Activities</w:t>
            </w:r>
          </w:p>
        </w:tc>
        <w:tc>
          <w:tcPr>
            <w:tcW w:w="636" w:type="pct"/>
            <w:tcBorders>
              <w:top w:val="single" w:sz="2" w:space="0" w:color="000000" w:themeColor="text1"/>
            </w:tcBorders>
            <w:vAlign w:val="center"/>
            <w:hideMark/>
          </w:tcPr>
          <w:p w14:paraId="55E096CC"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Total Estimated Cost</w:t>
            </w:r>
          </w:p>
        </w:tc>
        <w:tc>
          <w:tcPr>
            <w:tcW w:w="513" w:type="pct"/>
            <w:tcBorders>
              <w:top w:val="single" w:sz="2" w:space="0" w:color="000000" w:themeColor="text1"/>
            </w:tcBorders>
            <w:vAlign w:val="center"/>
            <w:hideMark/>
          </w:tcPr>
          <w:p w14:paraId="2405FC4F"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SDGs</w:t>
            </w:r>
          </w:p>
        </w:tc>
        <w:tc>
          <w:tcPr>
            <w:tcW w:w="1287" w:type="pct"/>
            <w:tcBorders>
              <w:top w:val="single" w:sz="2" w:space="0" w:color="000000" w:themeColor="text1"/>
              <w:right w:val="single" w:sz="2" w:space="0" w:color="000000" w:themeColor="text1"/>
            </w:tcBorders>
            <w:vAlign w:val="center"/>
          </w:tcPr>
          <w:p w14:paraId="14AD2144" w14:textId="77777777" w:rsidR="005A786E" w:rsidRPr="00965BAA" w:rsidRDefault="005A786E"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Vision (Level 2)</w:t>
            </w:r>
          </w:p>
        </w:tc>
      </w:tr>
      <w:tr w:rsidR="005A786E" w:rsidRPr="00965BAA" w14:paraId="4FD480E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862670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Human Resources and Social Development</w:t>
            </w:r>
          </w:p>
        </w:tc>
        <w:tc>
          <w:tcPr>
            <w:tcW w:w="989" w:type="pct"/>
            <w:vAlign w:val="center"/>
            <w:hideMark/>
          </w:tcPr>
          <w:p w14:paraId="4217307D" w14:textId="77777777" w:rsidR="005A786E" w:rsidRPr="004505D1"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fr-FR"/>
              </w:rPr>
            </w:pPr>
            <w:r w:rsidRPr="004505D1">
              <w:rPr>
                <w:rFonts w:ascii="Roboto" w:hAnsi="Roboto" w:cs="Calibri"/>
                <w:b/>
                <w:color w:val="404040" w:themeColor="text1" w:themeTint="BF"/>
                <w:sz w:val="15"/>
                <w:szCs w:val="15"/>
                <w:lang w:val="fr-FR"/>
              </w:rPr>
              <w:t>ILO, IOM, UN-Habitat, UN Women, UNDP, UNFPA, UNICEF, UNODC</w:t>
            </w:r>
          </w:p>
          <w:p w14:paraId="0EAC070D" w14:textId="77777777" w:rsidR="005A786E" w:rsidRPr="004505D1"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fr-FR"/>
              </w:rPr>
            </w:pPr>
          </w:p>
        </w:tc>
        <w:tc>
          <w:tcPr>
            <w:tcW w:w="567" w:type="pct"/>
            <w:noWrap/>
            <w:vAlign w:val="center"/>
            <w:hideMark/>
          </w:tcPr>
          <w:p w14:paraId="789736D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57</w:t>
            </w:r>
          </w:p>
        </w:tc>
        <w:tc>
          <w:tcPr>
            <w:tcW w:w="636" w:type="pct"/>
            <w:noWrap/>
            <w:vAlign w:val="center"/>
            <w:hideMark/>
          </w:tcPr>
          <w:p w14:paraId="5C1ED98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$51,163,200</w:t>
            </w:r>
          </w:p>
        </w:tc>
        <w:tc>
          <w:tcPr>
            <w:tcW w:w="513" w:type="pct"/>
            <w:vAlign w:val="center"/>
            <w:hideMark/>
          </w:tcPr>
          <w:p w14:paraId="268ADAC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1, 3, 4, 5, 8, 10, 11, 16, 17</w:t>
            </w:r>
          </w:p>
        </w:tc>
        <w:tc>
          <w:tcPr>
            <w:tcW w:w="1287" w:type="pct"/>
            <w:tcBorders>
              <w:right w:val="single" w:sz="2" w:space="0" w:color="000000" w:themeColor="text1"/>
            </w:tcBorders>
            <w:vAlign w:val="center"/>
          </w:tcPr>
          <w:p w14:paraId="37F868A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1.1, 1.3, 2.1, 2.3, 2.5, 2.6, 3.1, 4.1, 4.2, 4.3, 4.4, 5.2, 5.3, 6.1, 6.2, 6.3</w:t>
            </w:r>
          </w:p>
        </w:tc>
      </w:tr>
      <w:tr w:rsidR="005A786E" w:rsidRPr="00965BAA" w14:paraId="66D4342B"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2661DF68"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Human Rights Commission</w:t>
            </w:r>
          </w:p>
        </w:tc>
        <w:tc>
          <w:tcPr>
            <w:tcW w:w="989" w:type="pct"/>
            <w:vAlign w:val="center"/>
            <w:hideMark/>
          </w:tcPr>
          <w:p w14:paraId="13C4692F"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IOM, OHCHR, UNHCR, UNICEF, UNODC</w:t>
            </w:r>
          </w:p>
          <w:p w14:paraId="7103DFBA"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tc>
        <w:tc>
          <w:tcPr>
            <w:tcW w:w="567" w:type="pct"/>
            <w:noWrap/>
            <w:vAlign w:val="center"/>
            <w:hideMark/>
          </w:tcPr>
          <w:p w14:paraId="3CAAD07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47</w:t>
            </w:r>
          </w:p>
        </w:tc>
        <w:tc>
          <w:tcPr>
            <w:tcW w:w="636" w:type="pct"/>
            <w:noWrap/>
            <w:vAlign w:val="center"/>
            <w:hideMark/>
          </w:tcPr>
          <w:p w14:paraId="000D373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$19,882,459</w:t>
            </w:r>
          </w:p>
        </w:tc>
        <w:tc>
          <w:tcPr>
            <w:tcW w:w="513" w:type="pct"/>
            <w:vAlign w:val="center"/>
            <w:hideMark/>
          </w:tcPr>
          <w:p w14:paraId="160CBAE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3, 4, 5, 8, 10, 11, 16</w:t>
            </w:r>
          </w:p>
        </w:tc>
        <w:tc>
          <w:tcPr>
            <w:tcW w:w="1287" w:type="pct"/>
            <w:tcBorders>
              <w:right w:val="single" w:sz="2" w:space="0" w:color="000000" w:themeColor="text1"/>
            </w:tcBorders>
            <w:vAlign w:val="center"/>
          </w:tcPr>
          <w:p w14:paraId="016A51E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1.1, 2.1, 2.3, 2.6, 3.1, 4.1, 4.2, 4.4, 5.2, 5.3, 5.4, 6.2, 6.3</w:t>
            </w:r>
          </w:p>
        </w:tc>
      </w:tr>
      <w:tr w:rsidR="005A786E" w:rsidRPr="00965BAA" w14:paraId="05DA4DAA"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5E240EF"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Health</w:t>
            </w:r>
          </w:p>
        </w:tc>
        <w:tc>
          <w:tcPr>
            <w:tcW w:w="989" w:type="pct"/>
            <w:vAlign w:val="center"/>
            <w:hideMark/>
          </w:tcPr>
          <w:p w14:paraId="03E218E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IOM, UNDP, UNFPA, UNICEF, UNODC, WHO</w:t>
            </w:r>
          </w:p>
        </w:tc>
        <w:tc>
          <w:tcPr>
            <w:tcW w:w="567" w:type="pct"/>
            <w:noWrap/>
            <w:vAlign w:val="center"/>
            <w:hideMark/>
          </w:tcPr>
          <w:p w14:paraId="13E1DDA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32</w:t>
            </w:r>
          </w:p>
        </w:tc>
        <w:tc>
          <w:tcPr>
            <w:tcW w:w="636" w:type="pct"/>
            <w:noWrap/>
            <w:vAlign w:val="center"/>
            <w:hideMark/>
          </w:tcPr>
          <w:p w14:paraId="5B0084E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$14,750,800*</w:t>
            </w:r>
          </w:p>
        </w:tc>
        <w:tc>
          <w:tcPr>
            <w:tcW w:w="513" w:type="pct"/>
            <w:vAlign w:val="center"/>
            <w:hideMark/>
          </w:tcPr>
          <w:p w14:paraId="3DF6EE0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1, 4, 7, 8, 10, 11, 12, 13, 16</w:t>
            </w:r>
          </w:p>
        </w:tc>
        <w:tc>
          <w:tcPr>
            <w:tcW w:w="1287" w:type="pct"/>
            <w:tcBorders>
              <w:right w:val="single" w:sz="2" w:space="0" w:color="000000" w:themeColor="text1"/>
            </w:tcBorders>
            <w:vAlign w:val="center"/>
          </w:tcPr>
          <w:p w14:paraId="45165C2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1.1, 1.2, 2.1, 2.3, 2.6, 3.1, 3.3, 3.5, 4.1, 4.2, 4.3, 4.4, 5.2</w:t>
            </w:r>
          </w:p>
        </w:tc>
      </w:tr>
      <w:tr w:rsidR="005A786E" w:rsidRPr="00965BAA" w14:paraId="7208DCA9"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22E2322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Family Affairs Council</w:t>
            </w:r>
          </w:p>
        </w:tc>
        <w:tc>
          <w:tcPr>
            <w:tcW w:w="989" w:type="pct"/>
            <w:vAlign w:val="center"/>
            <w:hideMark/>
          </w:tcPr>
          <w:p w14:paraId="5AAAA8E8"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ILO, UNDP, UN Women, UNICEF</w:t>
            </w:r>
          </w:p>
        </w:tc>
        <w:tc>
          <w:tcPr>
            <w:tcW w:w="567" w:type="pct"/>
            <w:noWrap/>
            <w:vAlign w:val="center"/>
            <w:hideMark/>
          </w:tcPr>
          <w:p w14:paraId="601EA29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w:t>
            </w:r>
          </w:p>
        </w:tc>
        <w:tc>
          <w:tcPr>
            <w:tcW w:w="636" w:type="pct"/>
            <w:noWrap/>
            <w:vAlign w:val="center"/>
            <w:hideMark/>
          </w:tcPr>
          <w:p w14:paraId="1250AB0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$4,430,000</w:t>
            </w:r>
          </w:p>
        </w:tc>
        <w:tc>
          <w:tcPr>
            <w:tcW w:w="513" w:type="pct"/>
            <w:vAlign w:val="center"/>
            <w:hideMark/>
          </w:tcPr>
          <w:p w14:paraId="3BBD6D5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1, 2, 3, 4, 5, 6, 8, 10, 11, 13, 16, 17</w:t>
            </w:r>
          </w:p>
        </w:tc>
        <w:tc>
          <w:tcPr>
            <w:tcW w:w="1287" w:type="pct"/>
            <w:tcBorders>
              <w:right w:val="single" w:sz="2" w:space="0" w:color="000000" w:themeColor="text1"/>
            </w:tcBorders>
            <w:vAlign w:val="center"/>
          </w:tcPr>
          <w:p w14:paraId="6D18F8A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1.1, 1.3, 2.1, 2.6, 4.1, 4.3, 5.2</w:t>
            </w:r>
          </w:p>
        </w:tc>
      </w:tr>
      <w:tr w:rsidR="005A786E" w:rsidRPr="00965BAA" w14:paraId="456831B7"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9063B1A"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Municipal, Rural Affairs, and Housing</w:t>
            </w:r>
          </w:p>
        </w:tc>
        <w:tc>
          <w:tcPr>
            <w:tcW w:w="989" w:type="pct"/>
            <w:vAlign w:val="center"/>
            <w:hideMark/>
          </w:tcPr>
          <w:p w14:paraId="5F162A1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 UNDP, UNODC</w:t>
            </w:r>
          </w:p>
        </w:tc>
        <w:tc>
          <w:tcPr>
            <w:tcW w:w="567" w:type="pct"/>
            <w:noWrap/>
            <w:vAlign w:val="center"/>
            <w:hideMark/>
          </w:tcPr>
          <w:p w14:paraId="70597F6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c>
          <w:tcPr>
            <w:tcW w:w="636" w:type="pct"/>
            <w:noWrap/>
            <w:vAlign w:val="center"/>
            <w:hideMark/>
          </w:tcPr>
          <w:p w14:paraId="347A9F5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$58,000,000</w:t>
            </w:r>
          </w:p>
        </w:tc>
        <w:tc>
          <w:tcPr>
            <w:tcW w:w="513" w:type="pct"/>
            <w:vAlign w:val="center"/>
            <w:hideMark/>
          </w:tcPr>
          <w:p w14:paraId="5F3E9FBF"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1, 3, 5, 8, 10, 11, 16</w:t>
            </w:r>
          </w:p>
        </w:tc>
        <w:tc>
          <w:tcPr>
            <w:tcW w:w="1287" w:type="pct"/>
            <w:tcBorders>
              <w:right w:val="single" w:sz="2" w:space="0" w:color="000000" w:themeColor="text1"/>
            </w:tcBorders>
            <w:vAlign w:val="center"/>
          </w:tcPr>
          <w:p w14:paraId="00833A8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1.1, 1.3, 2.2, 2.3, 2.4, 2.5, 2.6, 3.1, 3.2, 3.5, 4.1, 4.3, 4.4, 5.1, 5.2, 5.3, 6.1, 6.3</w:t>
            </w:r>
          </w:p>
        </w:tc>
      </w:tr>
      <w:tr w:rsidR="005A786E" w:rsidRPr="00965BAA" w14:paraId="09A03C7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494824EE" w14:textId="77777777" w:rsidR="005A786E" w:rsidRPr="00965BAA" w:rsidRDefault="005A786E" w:rsidP="005A5556">
            <w:pPr>
              <w:spacing w:before="40" w:after="40"/>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lastRenderedPageBreak/>
              <w:t>main governmental partner</w:t>
            </w:r>
          </w:p>
        </w:tc>
        <w:tc>
          <w:tcPr>
            <w:tcW w:w="989" w:type="pct"/>
            <w:vAlign w:val="center"/>
          </w:tcPr>
          <w:p w14:paraId="6FBD8F8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AFP(s)</w:t>
            </w:r>
          </w:p>
        </w:tc>
        <w:tc>
          <w:tcPr>
            <w:tcW w:w="567" w:type="pct"/>
            <w:noWrap/>
            <w:vAlign w:val="center"/>
          </w:tcPr>
          <w:p w14:paraId="563842C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Number of Activities</w:t>
            </w:r>
          </w:p>
        </w:tc>
        <w:tc>
          <w:tcPr>
            <w:tcW w:w="636" w:type="pct"/>
            <w:noWrap/>
            <w:vAlign w:val="center"/>
          </w:tcPr>
          <w:p w14:paraId="4766953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Total Estimated Cost</w:t>
            </w:r>
          </w:p>
        </w:tc>
        <w:tc>
          <w:tcPr>
            <w:tcW w:w="513" w:type="pct"/>
            <w:vAlign w:val="center"/>
          </w:tcPr>
          <w:p w14:paraId="45769540"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SDGs</w:t>
            </w:r>
          </w:p>
        </w:tc>
        <w:tc>
          <w:tcPr>
            <w:tcW w:w="1287" w:type="pct"/>
            <w:tcBorders>
              <w:right w:val="single" w:sz="2" w:space="0" w:color="000000" w:themeColor="text1"/>
            </w:tcBorders>
            <w:vAlign w:val="center"/>
          </w:tcPr>
          <w:p w14:paraId="71489C4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Vision (Level 2)</w:t>
            </w:r>
          </w:p>
        </w:tc>
      </w:tr>
      <w:tr w:rsidR="005A786E" w:rsidRPr="00965BAA" w14:paraId="65C0F1E7"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33B7D3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Interior</w:t>
            </w:r>
          </w:p>
        </w:tc>
        <w:tc>
          <w:tcPr>
            <w:tcW w:w="989" w:type="pct"/>
            <w:vAlign w:val="center"/>
            <w:hideMark/>
          </w:tcPr>
          <w:p w14:paraId="7C3F695D"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IOM, UN-Habitat, UNODC</w:t>
            </w:r>
          </w:p>
        </w:tc>
        <w:tc>
          <w:tcPr>
            <w:tcW w:w="567" w:type="pct"/>
            <w:noWrap/>
            <w:vAlign w:val="center"/>
            <w:hideMark/>
          </w:tcPr>
          <w:p w14:paraId="27BA127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19</w:t>
            </w:r>
          </w:p>
        </w:tc>
        <w:tc>
          <w:tcPr>
            <w:tcW w:w="636" w:type="pct"/>
            <w:noWrap/>
            <w:vAlign w:val="center"/>
            <w:hideMark/>
          </w:tcPr>
          <w:p w14:paraId="2862440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$37,071,600</w:t>
            </w:r>
          </w:p>
        </w:tc>
        <w:tc>
          <w:tcPr>
            <w:tcW w:w="513" w:type="pct"/>
            <w:vAlign w:val="center"/>
            <w:hideMark/>
          </w:tcPr>
          <w:p w14:paraId="5CD9A01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1, 3, 4, 5, 8, 10, 16, 17</w:t>
            </w:r>
          </w:p>
        </w:tc>
        <w:tc>
          <w:tcPr>
            <w:tcW w:w="1287" w:type="pct"/>
            <w:tcBorders>
              <w:right w:val="single" w:sz="2" w:space="0" w:color="000000" w:themeColor="text1"/>
            </w:tcBorders>
            <w:vAlign w:val="center"/>
          </w:tcPr>
          <w:p w14:paraId="23E00F8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1.1, 2.1, 2.3, 2.6, 3.1, 3.5, 3.6, 4.1, 4.2, 4.4, 5.2, 5.3, 6.2</w:t>
            </w:r>
          </w:p>
        </w:tc>
      </w:tr>
      <w:tr w:rsidR="005A786E" w:rsidRPr="00965BAA" w14:paraId="234EDF23"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60D23C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Environment, Water, and Agriculture</w:t>
            </w:r>
          </w:p>
        </w:tc>
        <w:tc>
          <w:tcPr>
            <w:tcW w:w="989" w:type="pct"/>
            <w:vAlign w:val="center"/>
            <w:hideMark/>
          </w:tcPr>
          <w:p w14:paraId="3122629C" w14:textId="77777777" w:rsidR="005A786E" w:rsidRPr="004505D1"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fr-FR"/>
              </w:rPr>
            </w:pPr>
            <w:r w:rsidRPr="004505D1">
              <w:rPr>
                <w:rFonts w:ascii="Roboto" w:hAnsi="Roboto" w:cs="Calibri"/>
                <w:b/>
                <w:color w:val="404040" w:themeColor="text1" w:themeTint="BF"/>
                <w:sz w:val="15"/>
                <w:szCs w:val="15"/>
                <w:lang w:val="fr-FR"/>
              </w:rPr>
              <w:t>FAO, UN-Habitat, UNDP, UNEP</w:t>
            </w:r>
          </w:p>
        </w:tc>
        <w:tc>
          <w:tcPr>
            <w:tcW w:w="567" w:type="pct"/>
            <w:noWrap/>
            <w:vAlign w:val="center"/>
            <w:hideMark/>
          </w:tcPr>
          <w:p w14:paraId="0F2DC1E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18</w:t>
            </w:r>
          </w:p>
        </w:tc>
        <w:tc>
          <w:tcPr>
            <w:tcW w:w="636" w:type="pct"/>
            <w:noWrap/>
            <w:vAlign w:val="center"/>
            <w:hideMark/>
          </w:tcPr>
          <w:p w14:paraId="6975975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$100,700,000</w:t>
            </w:r>
          </w:p>
        </w:tc>
        <w:tc>
          <w:tcPr>
            <w:tcW w:w="513" w:type="pct"/>
            <w:vAlign w:val="center"/>
            <w:hideMark/>
          </w:tcPr>
          <w:p w14:paraId="5F3B89D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2, 3, 6, 7, 12, 13, 14, 15</w:t>
            </w:r>
          </w:p>
        </w:tc>
        <w:tc>
          <w:tcPr>
            <w:tcW w:w="1287" w:type="pct"/>
            <w:tcBorders>
              <w:right w:val="single" w:sz="2" w:space="0" w:color="000000" w:themeColor="text1"/>
            </w:tcBorders>
            <w:vAlign w:val="center"/>
          </w:tcPr>
          <w:p w14:paraId="0A2407E0"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2.3, 2.4, 3.2, 3.3, 3.5, 4.2, 4.3, 4.4, 5.2, 5.4</w:t>
            </w:r>
          </w:p>
        </w:tc>
      </w:tr>
      <w:tr w:rsidR="005A786E" w:rsidRPr="00965BAA" w14:paraId="39094C9A"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23D3157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Education</w:t>
            </w:r>
          </w:p>
        </w:tc>
        <w:tc>
          <w:tcPr>
            <w:tcW w:w="989" w:type="pct"/>
            <w:vAlign w:val="center"/>
            <w:hideMark/>
          </w:tcPr>
          <w:p w14:paraId="73EC12BB"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UNESCO, UNICEF, UNODC</w:t>
            </w:r>
          </w:p>
        </w:tc>
        <w:tc>
          <w:tcPr>
            <w:tcW w:w="567" w:type="pct"/>
            <w:noWrap/>
            <w:vAlign w:val="center"/>
            <w:hideMark/>
          </w:tcPr>
          <w:p w14:paraId="4297843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14</w:t>
            </w:r>
          </w:p>
        </w:tc>
        <w:tc>
          <w:tcPr>
            <w:tcW w:w="636" w:type="pct"/>
            <w:noWrap/>
            <w:vAlign w:val="center"/>
            <w:hideMark/>
          </w:tcPr>
          <w:p w14:paraId="49B854F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$13,290,000</w:t>
            </w:r>
          </w:p>
        </w:tc>
        <w:tc>
          <w:tcPr>
            <w:tcW w:w="513" w:type="pct"/>
            <w:vAlign w:val="center"/>
            <w:hideMark/>
          </w:tcPr>
          <w:p w14:paraId="3F9FCAB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5, 8, 10, 16</w:t>
            </w:r>
          </w:p>
        </w:tc>
        <w:tc>
          <w:tcPr>
            <w:tcW w:w="1287" w:type="pct"/>
            <w:tcBorders>
              <w:right w:val="single" w:sz="2" w:space="0" w:color="000000" w:themeColor="text1"/>
            </w:tcBorders>
            <w:vAlign w:val="center"/>
          </w:tcPr>
          <w:p w14:paraId="7031940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1.1, 1.3, 2.1, 2.3, 2.6, 4.1, 4.2, 5.2</w:t>
            </w:r>
          </w:p>
        </w:tc>
      </w:tr>
      <w:tr w:rsidR="005A786E" w:rsidRPr="00965BAA" w14:paraId="62CBCFF7"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4CC8B49"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Justice</w:t>
            </w:r>
          </w:p>
        </w:tc>
        <w:tc>
          <w:tcPr>
            <w:tcW w:w="989" w:type="pct"/>
            <w:vAlign w:val="center"/>
            <w:hideMark/>
          </w:tcPr>
          <w:p w14:paraId="2608331B"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IOM, UNDP, UNODC</w:t>
            </w:r>
          </w:p>
        </w:tc>
        <w:tc>
          <w:tcPr>
            <w:tcW w:w="567" w:type="pct"/>
            <w:noWrap/>
            <w:vAlign w:val="center"/>
            <w:hideMark/>
          </w:tcPr>
          <w:p w14:paraId="239D668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w:t>
            </w:r>
          </w:p>
        </w:tc>
        <w:tc>
          <w:tcPr>
            <w:tcW w:w="636" w:type="pct"/>
            <w:noWrap/>
            <w:vAlign w:val="center"/>
            <w:hideMark/>
          </w:tcPr>
          <w:p w14:paraId="6872389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$19,751,600</w:t>
            </w:r>
          </w:p>
        </w:tc>
        <w:tc>
          <w:tcPr>
            <w:tcW w:w="513" w:type="pct"/>
            <w:vAlign w:val="center"/>
            <w:hideMark/>
          </w:tcPr>
          <w:p w14:paraId="00F17E2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3, 4, 5, 11, 16, 17</w:t>
            </w:r>
          </w:p>
        </w:tc>
        <w:tc>
          <w:tcPr>
            <w:tcW w:w="1287" w:type="pct"/>
            <w:tcBorders>
              <w:right w:val="single" w:sz="2" w:space="0" w:color="000000" w:themeColor="text1"/>
            </w:tcBorders>
            <w:vAlign w:val="center"/>
          </w:tcPr>
          <w:p w14:paraId="4B825A3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1.1, 1.3, 2.1, 2.3, 2.6, 4.1, 4.2, 4.3, 4.4, 5.2, 6.2, 6.3</w:t>
            </w:r>
          </w:p>
        </w:tc>
      </w:tr>
      <w:tr w:rsidR="005A786E" w:rsidRPr="00965BAA" w14:paraId="7D5BC4F5"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FF60FD2"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The Public Prosecution</w:t>
            </w:r>
          </w:p>
        </w:tc>
        <w:tc>
          <w:tcPr>
            <w:tcW w:w="989" w:type="pct"/>
            <w:vAlign w:val="center"/>
            <w:hideMark/>
          </w:tcPr>
          <w:p w14:paraId="5DC9C401"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2071369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w:t>
            </w:r>
          </w:p>
        </w:tc>
        <w:tc>
          <w:tcPr>
            <w:tcW w:w="636" w:type="pct"/>
            <w:noWrap/>
            <w:vAlign w:val="center"/>
            <w:hideMark/>
          </w:tcPr>
          <w:p w14:paraId="32487C6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$24,000,000</w:t>
            </w:r>
          </w:p>
        </w:tc>
        <w:tc>
          <w:tcPr>
            <w:tcW w:w="513" w:type="pct"/>
            <w:vAlign w:val="center"/>
            <w:hideMark/>
          </w:tcPr>
          <w:p w14:paraId="21DA2A3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5, 8, 16</w:t>
            </w:r>
          </w:p>
        </w:tc>
        <w:tc>
          <w:tcPr>
            <w:tcW w:w="1287" w:type="pct"/>
            <w:tcBorders>
              <w:right w:val="single" w:sz="2" w:space="0" w:color="000000" w:themeColor="text1"/>
            </w:tcBorders>
            <w:vAlign w:val="center"/>
          </w:tcPr>
          <w:p w14:paraId="4991E71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1.1, 1.3, 2.1, 2.3, 2.6, 3.1, 3.6, 4.1, 4.2, 4.4, 5.2, 5.3, 6.2, 6.3</w:t>
            </w:r>
          </w:p>
        </w:tc>
      </w:tr>
      <w:tr w:rsidR="005A786E" w:rsidRPr="00965BAA" w14:paraId="341AAAD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49FD62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General Authority for Statistics</w:t>
            </w:r>
          </w:p>
        </w:tc>
        <w:tc>
          <w:tcPr>
            <w:tcW w:w="989" w:type="pct"/>
            <w:vAlign w:val="center"/>
            <w:hideMark/>
          </w:tcPr>
          <w:p w14:paraId="42E7666B" w14:textId="77777777" w:rsidR="005A786E" w:rsidRPr="004505D1"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fr-FR"/>
              </w:rPr>
            </w:pPr>
            <w:r w:rsidRPr="004505D1">
              <w:rPr>
                <w:rFonts w:ascii="Roboto" w:hAnsi="Roboto" w:cs="Calibri"/>
                <w:b/>
                <w:color w:val="404040" w:themeColor="text1" w:themeTint="BF"/>
                <w:sz w:val="15"/>
                <w:szCs w:val="15"/>
                <w:lang w:val="fr-FR"/>
              </w:rPr>
              <w:t>ILO, UN-Habitat, UNDP, UNFPA, UNICEF, UNIDO</w:t>
            </w:r>
          </w:p>
        </w:tc>
        <w:tc>
          <w:tcPr>
            <w:tcW w:w="567" w:type="pct"/>
            <w:noWrap/>
            <w:vAlign w:val="center"/>
            <w:hideMark/>
          </w:tcPr>
          <w:p w14:paraId="4250DEF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w:t>
            </w:r>
          </w:p>
        </w:tc>
        <w:tc>
          <w:tcPr>
            <w:tcW w:w="636" w:type="pct"/>
            <w:noWrap/>
            <w:vAlign w:val="center"/>
            <w:hideMark/>
          </w:tcPr>
          <w:p w14:paraId="3386067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$10,150,480</w:t>
            </w:r>
          </w:p>
        </w:tc>
        <w:tc>
          <w:tcPr>
            <w:tcW w:w="513" w:type="pct"/>
            <w:vAlign w:val="center"/>
            <w:hideMark/>
          </w:tcPr>
          <w:p w14:paraId="37B1E1B0"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1, 3, 5, 8, 9, 11, 16, 17</w:t>
            </w:r>
          </w:p>
        </w:tc>
        <w:tc>
          <w:tcPr>
            <w:tcW w:w="1287" w:type="pct"/>
            <w:tcBorders>
              <w:right w:val="single" w:sz="2" w:space="0" w:color="000000" w:themeColor="text1"/>
            </w:tcBorders>
            <w:vAlign w:val="center"/>
          </w:tcPr>
          <w:p w14:paraId="3E2BDF1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2.1, 2.3, 2.6, 3.1, 3.3, 3.7, 4.1, 4.3, 5.2</w:t>
            </w:r>
          </w:p>
        </w:tc>
      </w:tr>
      <w:tr w:rsidR="005A786E" w:rsidRPr="00965BAA" w14:paraId="716C377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E1884A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Family Safety Program</w:t>
            </w:r>
          </w:p>
        </w:tc>
        <w:tc>
          <w:tcPr>
            <w:tcW w:w="989" w:type="pct"/>
            <w:vAlign w:val="center"/>
            <w:hideMark/>
          </w:tcPr>
          <w:p w14:paraId="0DA6856B"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 Women, UNDP, UNFPA, UNHCR, UNICEF, UNODC</w:t>
            </w:r>
          </w:p>
        </w:tc>
        <w:tc>
          <w:tcPr>
            <w:tcW w:w="567" w:type="pct"/>
            <w:noWrap/>
            <w:vAlign w:val="center"/>
            <w:hideMark/>
          </w:tcPr>
          <w:p w14:paraId="4858FF8F"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w:t>
            </w:r>
          </w:p>
        </w:tc>
        <w:tc>
          <w:tcPr>
            <w:tcW w:w="636" w:type="pct"/>
            <w:noWrap/>
            <w:vAlign w:val="center"/>
            <w:hideMark/>
          </w:tcPr>
          <w:p w14:paraId="1950F8C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$2,775,000</w:t>
            </w:r>
          </w:p>
        </w:tc>
        <w:tc>
          <w:tcPr>
            <w:tcW w:w="513" w:type="pct"/>
            <w:vAlign w:val="center"/>
            <w:hideMark/>
          </w:tcPr>
          <w:p w14:paraId="5265A0DF"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4, 5, 8, 11, 16</w:t>
            </w:r>
          </w:p>
        </w:tc>
        <w:tc>
          <w:tcPr>
            <w:tcW w:w="1287" w:type="pct"/>
            <w:tcBorders>
              <w:right w:val="single" w:sz="2" w:space="0" w:color="000000" w:themeColor="text1"/>
            </w:tcBorders>
            <w:vAlign w:val="center"/>
          </w:tcPr>
          <w:p w14:paraId="1FD9610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1.1, 1.3, 2.1, 2.6, 4.2, 5.2</w:t>
            </w:r>
          </w:p>
        </w:tc>
      </w:tr>
      <w:tr w:rsidR="005A786E" w:rsidRPr="00965BAA" w14:paraId="30A575EC"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F98959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Foreign Affairs</w:t>
            </w:r>
          </w:p>
        </w:tc>
        <w:tc>
          <w:tcPr>
            <w:tcW w:w="989" w:type="pct"/>
            <w:vAlign w:val="center"/>
            <w:hideMark/>
          </w:tcPr>
          <w:p w14:paraId="7BB089AA" w14:textId="77777777" w:rsidR="005A786E" w:rsidRPr="004505D1"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fr-FR"/>
              </w:rPr>
            </w:pPr>
            <w:r w:rsidRPr="004505D1">
              <w:rPr>
                <w:rFonts w:ascii="Roboto" w:hAnsi="Roboto" w:cs="Calibri"/>
                <w:b/>
                <w:color w:val="404040" w:themeColor="text1" w:themeTint="BF"/>
                <w:sz w:val="15"/>
                <w:szCs w:val="15"/>
                <w:lang w:val="fr-FR"/>
              </w:rPr>
              <w:t>UN-Habitat, UNDP, UNHCR, UNICEF, UNCTAD</w:t>
            </w:r>
          </w:p>
          <w:p w14:paraId="3E9E3299" w14:textId="77777777" w:rsidR="005A786E" w:rsidRPr="004505D1"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fr-FR"/>
              </w:rPr>
            </w:pPr>
          </w:p>
        </w:tc>
        <w:tc>
          <w:tcPr>
            <w:tcW w:w="567" w:type="pct"/>
            <w:noWrap/>
            <w:vAlign w:val="center"/>
            <w:hideMark/>
          </w:tcPr>
          <w:p w14:paraId="5607EA8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w:t>
            </w:r>
          </w:p>
        </w:tc>
        <w:tc>
          <w:tcPr>
            <w:tcW w:w="636" w:type="pct"/>
            <w:noWrap/>
            <w:vAlign w:val="center"/>
            <w:hideMark/>
          </w:tcPr>
          <w:p w14:paraId="08BD19C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$21,880,000</w:t>
            </w:r>
          </w:p>
        </w:tc>
        <w:tc>
          <w:tcPr>
            <w:tcW w:w="513" w:type="pct"/>
            <w:vAlign w:val="center"/>
            <w:hideMark/>
          </w:tcPr>
          <w:p w14:paraId="5993C8B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1, 3, 4, 6, 8, 11, 13, 16, 17</w:t>
            </w:r>
          </w:p>
        </w:tc>
        <w:tc>
          <w:tcPr>
            <w:tcW w:w="1287" w:type="pct"/>
            <w:tcBorders>
              <w:right w:val="single" w:sz="2" w:space="0" w:color="000000" w:themeColor="text1"/>
            </w:tcBorders>
            <w:vAlign w:val="center"/>
          </w:tcPr>
          <w:p w14:paraId="1588800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2.1, 2.3, 2.5, 3.1, 5.2</w:t>
            </w:r>
          </w:p>
        </w:tc>
      </w:tr>
      <w:tr w:rsidR="005A786E" w:rsidRPr="00965BAA" w14:paraId="7185CAAB"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6A9BA98"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Economy and Planning</w:t>
            </w:r>
          </w:p>
        </w:tc>
        <w:tc>
          <w:tcPr>
            <w:tcW w:w="989" w:type="pct"/>
            <w:vAlign w:val="center"/>
            <w:hideMark/>
          </w:tcPr>
          <w:p w14:paraId="48684D9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 UNDP, UNFPA, UNODC</w:t>
            </w:r>
          </w:p>
          <w:p w14:paraId="64752A5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p>
        </w:tc>
        <w:tc>
          <w:tcPr>
            <w:tcW w:w="567" w:type="pct"/>
            <w:noWrap/>
            <w:vAlign w:val="center"/>
            <w:hideMark/>
          </w:tcPr>
          <w:p w14:paraId="7DE623F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w:t>
            </w:r>
          </w:p>
        </w:tc>
        <w:tc>
          <w:tcPr>
            <w:tcW w:w="636" w:type="pct"/>
            <w:noWrap/>
            <w:vAlign w:val="center"/>
            <w:hideMark/>
          </w:tcPr>
          <w:p w14:paraId="00FDDAA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$18,208,000</w:t>
            </w:r>
          </w:p>
        </w:tc>
        <w:tc>
          <w:tcPr>
            <w:tcW w:w="513" w:type="pct"/>
            <w:vAlign w:val="center"/>
            <w:hideMark/>
          </w:tcPr>
          <w:p w14:paraId="25BAD7B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1, 3, 5, 6, 10, 11, 13</w:t>
            </w:r>
          </w:p>
        </w:tc>
        <w:tc>
          <w:tcPr>
            <w:tcW w:w="1287" w:type="pct"/>
            <w:tcBorders>
              <w:right w:val="single" w:sz="2" w:space="0" w:color="000000" w:themeColor="text1"/>
            </w:tcBorders>
            <w:vAlign w:val="center"/>
          </w:tcPr>
          <w:p w14:paraId="0BF2828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1.1, 2.3, 3.1, 3.3, 3.5, 3.7, 4.3, 4.4, 5.1, 5.2, 5.3, 6.2</w:t>
            </w:r>
          </w:p>
        </w:tc>
      </w:tr>
      <w:tr w:rsidR="005A786E" w:rsidRPr="00965BAA" w14:paraId="45F4229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4BCF9F8"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Center of Wildlife</w:t>
            </w:r>
          </w:p>
        </w:tc>
        <w:tc>
          <w:tcPr>
            <w:tcW w:w="989" w:type="pct"/>
            <w:vAlign w:val="center"/>
            <w:hideMark/>
          </w:tcPr>
          <w:p w14:paraId="50CE7A48"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 UNEP, UNESCO</w:t>
            </w:r>
          </w:p>
        </w:tc>
        <w:tc>
          <w:tcPr>
            <w:tcW w:w="567" w:type="pct"/>
            <w:noWrap/>
            <w:vAlign w:val="center"/>
            <w:hideMark/>
          </w:tcPr>
          <w:p w14:paraId="1C35F82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w:t>
            </w:r>
          </w:p>
        </w:tc>
        <w:tc>
          <w:tcPr>
            <w:tcW w:w="636" w:type="pct"/>
            <w:noWrap/>
            <w:vAlign w:val="center"/>
            <w:hideMark/>
          </w:tcPr>
          <w:p w14:paraId="5D7E658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$17,550,000</w:t>
            </w:r>
          </w:p>
        </w:tc>
        <w:tc>
          <w:tcPr>
            <w:tcW w:w="513" w:type="pct"/>
            <w:vAlign w:val="center"/>
            <w:hideMark/>
          </w:tcPr>
          <w:p w14:paraId="550AF3E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3, 5, 10, 11, 16</w:t>
            </w:r>
          </w:p>
        </w:tc>
        <w:tc>
          <w:tcPr>
            <w:tcW w:w="1287" w:type="pct"/>
            <w:tcBorders>
              <w:right w:val="single" w:sz="2" w:space="0" w:color="000000" w:themeColor="text1"/>
            </w:tcBorders>
            <w:vAlign w:val="center"/>
          </w:tcPr>
          <w:p w14:paraId="203C577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2.4, 5.2</w:t>
            </w:r>
          </w:p>
        </w:tc>
      </w:tr>
      <w:tr w:rsidR="005A786E" w:rsidRPr="00965BAA" w14:paraId="5F90D468"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1DF8A5E"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Center for Environmental Compliance</w:t>
            </w:r>
          </w:p>
        </w:tc>
        <w:tc>
          <w:tcPr>
            <w:tcW w:w="989" w:type="pct"/>
            <w:vAlign w:val="center"/>
            <w:hideMark/>
          </w:tcPr>
          <w:p w14:paraId="37CC02A1"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UNEP</w:t>
            </w:r>
          </w:p>
        </w:tc>
        <w:tc>
          <w:tcPr>
            <w:tcW w:w="567" w:type="pct"/>
            <w:noWrap/>
            <w:vAlign w:val="center"/>
            <w:hideMark/>
          </w:tcPr>
          <w:p w14:paraId="288DA31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w:t>
            </w:r>
          </w:p>
        </w:tc>
        <w:tc>
          <w:tcPr>
            <w:tcW w:w="636" w:type="pct"/>
            <w:noWrap/>
            <w:vAlign w:val="center"/>
            <w:hideMark/>
          </w:tcPr>
          <w:p w14:paraId="5CB6A9E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$9,550,000</w:t>
            </w:r>
          </w:p>
        </w:tc>
        <w:tc>
          <w:tcPr>
            <w:tcW w:w="513" w:type="pct"/>
            <w:vAlign w:val="center"/>
            <w:hideMark/>
          </w:tcPr>
          <w:p w14:paraId="66A203F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2, 14, 15</w:t>
            </w:r>
          </w:p>
        </w:tc>
        <w:tc>
          <w:tcPr>
            <w:tcW w:w="1287" w:type="pct"/>
            <w:tcBorders>
              <w:right w:val="single" w:sz="2" w:space="0" w:color="000000" w:themeColor="text1"/>
            </w:tcBorders>
            <w:vAlign w:val="center"/>
          </w:tcPr>
          <w:p w14:paraId="707F529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r>
      <w:tr w:rsidR="005A786E" w:rsidRPr="00965BAA" w14:paraId="72F5EF6A"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2317A5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Tourism</w:t>
            </w:r>
          </w:p>
        </w:tc>
        <w:tc>
          <w:tcPr>
            <w:tcW w:w="989" w:type="pct"/>
            <w:vAlign w:val="center"/>
            <w:hideMark/>
          </w:tcPr>
          <w:p w14:paraId="4F3020CB"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 UNDP, UNWTO</w:t>
            </w:r>
          </w:p>
          <w:p w14:paraId="0466F1E1"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p>
        </w:tc>
        <w:tc>
          <w:tcPr>
            <w:tcW w:w="567" w:type="pct"/>
            <w:noWrap/>
            <w:vAlign w:val="center"/>
            <w:hideMark/>
          </w:tcPr>
          <w:p w14:paraId="7C59E7F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636" w:type="pct"/>
            <w:noWrap/>
            <w:vAlign w:val="center"/>
            <w:hideMark/>
          </w:tcPr>
          <w:p w14:paraId="202463B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$14,000,000*</w:t>
            </w:r>
          </w:p>
        </w:tc>
        <w:tc>
          <w:tcPr>
            <w:tcW w:w="513" w:type="pct"/>
            <w:vAlign w:val="center"/>
            <w:hideMark/>
          </w:tcPr>
          <w:p w14:paraId="2F1248D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3, 6, 7, 13</w:t>
            </w:r>
          </w:p>
        </w:tc>
        <w:tc>
          <w:tcPr>
            <w:tcW w:w="1287" w:type="pct"/>
            <w:tcBorders>
              <w:right w:val="single" w:sz="2" w:space="0" w:color="000000" w:themeColor="text1"/>
            </w:tcBorders>
            <w:vAlign w:val="center"/>
          </w:tcPr>
          <w:p w14:paraId="6B81F08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2.3, 2.5, 3.1, 3.3, 4.1, 4.2, 4.3</w:t>
            </w:r>
          </w:p>
        </w:tc>
      </w:tr>
      <w:tr w:rsidR="005A786E" w:rsidRPr="00965BAA" w14:paraId="3628F9FD"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FEEBD80"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Transportation</w:t>
            </w:r>
          </w:p>
        </w:tc>
        <w:tc>
          <w:tcPr>
            <w:tcW w:w="989" w:type="pct"/>
            <w:vAlign w:val="center"/>
            <w:hideMark/>
          </w:tcPr>
          <w:p w14:paraId="64E8CB6A"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 UNDP</w:t>
            </w:r>
          </w:p>
        </w:tc>
        <w:tc>
          <w:tcPr>
            <w:tcW w:w="567" w:type="pct"/>
            <w:noWrap/>
            <w:vAlign w:val="center"/>
            <w:hideMark/>
          </w:tcPr>
          <w:p w14:paraId="51D07B4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636" w:type="pct"/>
            <w:noWrap/>
            <w:vAlign w:val="center"/>
            <w:hideMark/>
          </w:tcPr>
          <w:p w14:paraId="4615F72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$10,220,000</w:t>
            </w:r>
          </w:p>
        </w:tc>
        <w:tc>
          <w:tcPr>
            <w:tcW w:w="513" w:type="pct"/>
            <w:vAlign w:val="center"/>
            <w:hideMark/>
          </w:tcPr>
          <w:p w14:paraId="53B6B0D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3, 12</w:t>
            </w:r>
          </w:p>
        </w:tc>
        <w:tc>
          <w:tcPr>
            <w:tcW w:w="1287" w:type="pct"/>
            <w:tcBorders>
              <w:right w:val="single" w:sz="2" w:space="0" w:color="000000" w:themeColor="text1"/>
            </w:tcBorders>
            <w:vAlign w:val="center"/>
          </w:tcPr>
          <w:p w14:paraId="22ABDC2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1.1, 1.3, 2.3, 2.4, 3.3, 3.5, 4.2, 4.3, 4.4, 5.2</w:t>
            </w:r>
          </w:p>
        </w:tc>
      </w:tr>
      <w:tr w:rsidR="005A786E" w:rsidRPr="00965BAA" w14:paraId="211320E6"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D0B3F7E"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Energy</w:t>
            </w:r>
          </w:p>
        </w:tc>
        <w:tc>
          <w:tcPr>
            <w:tcW w:w="989" w:type="pct"/>
            <w:vAlign w:val="center"/>
            <w:hideMark/>
          </w:tcPr>
          <w:p w14:paraId="138FA3C9"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088B15C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636" w:type="pct"/>
            <w:noWrap/>
            <w:vAlign w:val="center"/>
            <w:hideMark/>
          </w:tcPr>
          <w:p w14:paraId="5ACF899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$25,600,000</w:t>
            </w:r>
          </w:p>
        </w:tc>
        <w:tc>
          <w:tcPr>
            <w:tcW w:w="513" w:type="pct"/>
            <w:vAlign w:val="center"/>
            <w:hideMark/>
          </w:tcPr>
          <w:p w14:paraId="66DE9AA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5, 8, 16</w:t>
            </w:r>
          </w:p>
        </w:tc>
        <w:tc>
          <w:tcPr>
            <w:tcW w:w="1287" w:type="pct"/>
            <w:tcBorders>
              <w:right w:val="single" w:sz="2" w:space="0" w:color="000000" w:themeColor="text1"/>
            </w:tcBorders>
            <w:vAlign w:val="center"/>
          </w:tcPr>
          <w:p w14:paraId="04E0045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2.3, 2.4, 3.2, 3.3, 3.5, 4.4, 5.2</w:t>
            </w:r>
          </w:p>
        </w:tc>
      </w:tr>
      <w:tr w:rsidR="005A786E" w:rsidRPr="00965BAA" w14:paraId="18DBEF50"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5E1E03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Anti-corruption Commission</w:t>
            </w:r>
          </w:p>
        </w:tc>
        <w:tc>
          <w:tcPr>
            <w:tcW w:w="989" w:type="pct"/>
            <w:vAlign w:val="center"/>
            <w:hideMark/>
          </w:tcPr>
          <w:p w14:paraId="75643EFA"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 UNODC</w:t>
            </w:r>
          </w:p>
        </w:tc>
        <w:tc>
          <w:tcPr>
            <w:tcW w:w="567" w:type="pct"/>
            <w:noWrap/>
            <w:vAlign w:val="center"/>
            <w:hideMark/>
          </w:tcPr>
          <w:p w14:paraId="21D0ED4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636" w:type="pct"/>
            <w:noWrap/>
            <w:vAlign w:val="center"/>
            <w:hideMark/>
          </w:tcPr>
          <w:p w14:paraId="672BFC1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$9,184,480</w:t>
            </w:r>
          </w:p>
        </w:tc>
        <w:tc>
          <w:tcPr>
            <w:tcW w:w="513" w:type="pct"/>
            <w:vAlign w:val="center"/>
            <w:hideMark/>
          </w:tcPr>
          <w:p w14:paraId="1D72A76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1, 3, 4, 8, 11, 16</w:t>
            </w:r>
          </w:p>
        </w:tc>
        <w:tc>
          <w:tcPr>
            <w:tcW w:w="1287" w:type="pct"/>
            <w:tcBorders>
              <w:right w:val="single" w:sz="2" w:space="0" w:color="000000" w:themeColor="text1"/>
            </w:tcBorders>
            <w:vAlign w:val="center"/>
          </w:tcPr>
          <w:p w14:paraId="528D7C0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1.1, 2.3, 3.1, 3.3, 3.7, 4.3, 5.1, 5.2, 5.3</w:t>
            </w:r>
          </w:p>
        </w:tc>
      </w:tr>
      <w:tr w:rsidR="005A786E" w:rsidRPr="00965BAA" w14:paraId="7DD16F87"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8789093"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Committee for Narcotics Control</w:t>
            </w:r>
          </w:p>
        </w:tc>
        <w:tc>
          <w:tcPr>
            <w:tcW w:w="989" w:type="pct"/>
            <w:vAlign w:val="center"/>
            <w:hideMark/>
          </w:tcPr>
          <w:p w14:paraId="544F404D"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7F62AF3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636" w:type="pct"/>
            <w:noWrap/>
            <w:vAlign w:val="center"/>
            <w:hideMark/>
          </w:tcPr>
          <w:p w14:paraId="07E8209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$12,800,000</w:t>
            </w:r>
          </w:p>
        </w:tc>
        <w:tc>
          <w:tcPr>
            <w:tcW w:w="513" w:type="pct"/>
            <w:vAlign w:val="center"/>
            <w:hideMark/>
          </w:tcPr>
          <w:p w14:paraId="6F369AB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1, 5, 10</w:t>
            </w:r>
          </w:p>
        </w:tc>
        <w:tc>
          <w:tcPr>
            <w:tcW w:w="1287" w:type="pct"/>
            <w:tcBorders>
              <w:right w:val="single" w:sz="2" w:space="0" w:color="000000" w:themeColor="text1"/>
            </w:tcBorders>
            <w:vAlign w:val="center"/>
          </w:tcPr>
          <w:p w14:paraId="1CDA4D3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2.1, 2.3, 2.6, 4.1</w:t>
            </w:r>
          </w:p>
        </w:tc>
      </w:tr>
      <w:tr w:rsidR="005A786E" w:rsidRPr="00965BAA" w14:paraId="6979B13F"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6B0767E"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Food and Drug Authority</w:t>
            </w:r>
          </w:p>
        </w:tc>
        <w:tc>
          <w:tcPr>
            <w:tcW w:w="989" w:type="pct"/>
            <w:vAlign w:val="center"/>
            <w:hideMark/>
          </w:tcPr>
          <w:p w14:paraId="1ABEA1B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 WHO</w:t>
            </w:r>
          </w:p>
        </w:tc>
        <w:tc>
          <w:tcPr>
            <w:tcW w:w="567" w:type="pct"/>
            <w:noWrap/>
            <w:vAlign w:val="center"/>
            <w:hideMark/>
          </w:tcPr>
          <w:p w14:paraId="1E4E5FB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w:t>
            </w:r>
          </w:p>
        </w:tc>
        <w:tc>
          <w:tcPr>
            <w:tcW w:w="636" w:type="pct"/>
            <w:noWrap/>
            <w:vAlign w:val="center"/>
            <w:hideMark/>
          </w:tcPr>
          <w:p w14:paraId="3FBBBE5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$16,900,000*</w:t>
            </w:r>
          </w:p>
        </w:tc>
        <w:tc>
          <w:tcPr>
            <w:tcW w:w="513" w:type="pct"/>
            <w:vAlign w:val="center"/>
            <w:hideMark/>
          </w:tcPr>
          <w:p w14:paraId="2081B99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4, 8, 11, 17</w:t>
            </w:r>
          </w:p>
        </w:tc>
        <w:tc>
          <w:tcPr>
            <w:tcW w:w="1287" w:type="pct"/>
            <w:tcBorders>
              <w:right w:val="single" w:sz="2" w:space="0" w:color="000000" w:themeColor="text1"/>
            </w:tcBorders>
            <w:vAlign w:val="center"/>
          </w:tcPr>
          <w:p w14:paraId="2BB8BEB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w:t>
            </w:r>
          </w:p>
        </w:tc>
      </w:tr>
      <w:tr w:rsidR="005A786E" w:rsidRPr="00965BAA" w14:paraId="3137EDC2"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C91A941"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Center for Performance Management</w:t>
            </w:r>
          </w:p>
        </w:tc>
        <w:tc>
          <w:tcPr>
            <w:tcW w:w="989" w:type="pct"/>
            <w:vAlign w:val="center"/>
            <w:hideMark/>
          </w:tcPr>
          <w:p w14:paraId="7B172DFA"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434BCA5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636" w:type="pct"/>
            <w:noWrap/>
            <w:vAlign w:val="center"/>
            <w:hideMark/>
          </w:tcPr>
          <w:p w14:paraId="4D9DD1C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$6,184,480</w:t>
            </w:r>
          </w:p>
        </w:tc>
        <w:tc>
          <w:tcPr>
            <w:tcW w:w="513" w:type="pct"/>
            <w:vAlign w:val="center"/>
            <w:hideMark/>
          </w:tcPr>
          <w:p w14:paraId="3A84BFC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2, 3</w:t>
            </w:r>
          </w:p>
        </w:tc>
        <w:tc>
          <w:tcPr>
            <w:tcW w:w="1287" w:type="pct"/>
            <w:tcBorders>
              <w:right w:val="single" w:sz="2" w:space="0" w:color="000000" w:themeColor="text1"/>
            </w:tcBorders>
            <w:vAlign w:val="center"/>
          </w:tcPr>
          <w:p w14:paraId="11BD963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3.1, 3.7, 5.2</w:t>
            </w:r>
          </w:p>
        </w:tc>
      </w:tr>
      <w:tr w:rsidR="005A786E" w:rsidRPr="00965BAA" w14:paraId="2C0AE535"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49A8ED0A"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Commerce</w:t>
            </w:r>
          </w:p>
        </w:tc>
        <w:tc>
          <w:tcPr>
            <w:tcW w:w="989" w:type="pct"/>
            <w:vAlign w:val="center"/>
          </w:tcPr>
          <w:p w14:paraId="709A6FFF"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UNCTAD</w:t>
            </w:r>
          </w:p>
        </w:tc>
        <w:tc>
          <w:tcPr>
            <w:tcW w:w="567" w:type="pct"/>
            <w:noWrap/>
            <w:vAlign w:val="center"/>
          </w:tcPr>
          <w:p w14:paraId="6FC781E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tcPr>
          <w:p w14:paraId="53CF1C8F"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$3,000,000</w:t>
            </w:r>
          </w:p>
        </w:tc>
        <w:tc>
          <w:tcPr>
            <w:tcW w:w="513" w:type="pct"/>
            <w:vAlign w:val="center"/>
          </w:tcPr>
          <w:p w14:paraId="4B87893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w:t>
            </w:r>
          </w:p>
        </w:tc>
        <w:tc>
          <w:tcPr>
            <w:tcW w:w="1287" w:type="pct"/>
            <w:tcBorders>
              <w:right w:val="single" w:sz="2" w:space="0" w:color="000000" w:themeColor="text1"/>
            </w:tcBorders>
            <w:vAlign w:val="center"/>
          </w:tcPr>
          <w:p w14:paraId="29A7F91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4.3, 6.2</w:t>
            </w:r>
          </w:p>
        </w:tc>
      </w:tr>
      <w:tr w:rsidR="005A786E" w:rsidRPr="00965BAA" w14:paraId="56BE3E5A"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3907E88A"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Investment</w:t>
            </w:r>
          </w:p>
        </w:tc>
        <w:tc>
          <w:tcPr>
            <w:tcW w:w="989" w:type="pct"/>
            <w:vAlign w:val="center"/>
          </w:tcPr>
          <w:p w14:paraId="7F70B824"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UNCTAD</w:t>
            </w:r>
          </w:p>
        </w:tc>
        <w:tc>
          <w:tcPr>
            <w:tcW w:w="567" w:type="pct"/>
            <w:noWrap/>
            <w:vAlign w:val="center"/>
          </w:tcPr>
          <w:p w14:paraId="22553E4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tcPr>
          <w:p w14:paraId="3B42232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$3,000,000</w:t>
            </w:r>
          </w:p>
        </w:tc>
        <w:tc>
          <w:tcPr>
            <w:tcW w:w="513" w:type="pct"/>
            <w:vAlign w:val="center"/>
          </w:tcPr>
          <w:p w14:paraId="734B32F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w:t>
            </w:r>
          </w:p>
        </w:tc>
        <w:tc>
          <w:tcPr>
            <w:tcW w:w="1287" w:type="pct"/>
            <w:tcBorders>
              <w:right w:val="single" w:sz="2" w:space="0" w:color="000000" w:themeColor="text1"/>
            </w:tcBorders>
            <w:vAlign w:val="center"/>
          </w:tcPr>
          <w:p w14:paraId="26EFC0A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4.3, 6.2</w:t>
            </w:r>
          </w:p>
        </w:tc>
      </w:tr>
      <w:tr w:rsidR="005A786E" w:rsidRPr="00965BAA" w14:paraId="322AFEB2"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5B6AD650"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Authority for Intellectual Property</w:t>
            </w:r>
          </w:p>
        </w:tc>
        <w:tc>
          <w:tcPr>
            <w:tcW w:w="989" w:type="pct"/>
            <w:vAlign w:val="center"/>
          </w:tcPr>
          <w:p w14:paraId="2CACB02D"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UNCTAD</w:t>
            </w:r>
          </w:p>
        </w:tc>
        <w:tc>
          <w:tcPr>
            <w:tcW w:w="567" w:type="pct"/>
            <w:noWrap/>
            <w:vAlign w:val="center"/>
          </w:tcPr>
          <w:p w14:paraId="77EF848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tcPr>
          <w:p w14:paraId="3ABB917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$3,000,000</w:t>
            </w:r>
          </w:p>
        </w:tc>
        <w:tc>
          <w:tcPr>
            <w:tcW w:w="513" w:type="pct"/>
            <w:vAlign w:val="center"/>
          </w:tcPr>
          <w:p w14:paraId="48C7A5F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w:t>
            </w:r>
          </w:p>
        </w:tc>
        <w:tc>
          <w:tcPr>
            <w:tcW w:w="1287" w:type="pct"/>
            <w:tcBorders>
              <w:right w:val="single" w:sz="2" w:space="0" w:color="000000" w:themeColor="text1"/>
            </w:tcBorders>
            <w:vAlign w:val="center"/>
          </w:tcPr>
          <w:p w14:paraId="2E37EA7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4.3, 6.2</w:t>
            </w:r>
          </w:p>
        </w:tc>
      </w:tr>
      <w:tr w:rsidR="005A786E" w:rsidRPr="00965BAA" w14:paraId="528ACDF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679CB3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Sports</w:t>
            </w:r>
          </w:p>
        </w:tc>
        <w:tc>
          <w:tcPr>
            <w:tcW w:w="989" w:type="pct"/>
            <w:vAlign w:val="center"/>
            <w:hideMark/>
          </w:tcPr>
          <w:p w14:paraId="797664BB"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UNFPA, UNODC</w:t>
            </w:r>
          </w:p>
        </w:tc>
        <w:tc>
          <w:tcPr>
            <w:tcW w:w="567" w:type="pct"/>
            <w:noWrap/>
            <w:vAlign w:val="center"/>
            <w:hideMark/>
          </w:tcPr>
          <w:p w14:paraId="4E03530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7094AEA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$2,296,000</w:t>
            </w:r>
          </w:p>
        </w:tc>
        <w:tc>
          <w:tcPr>
            <w:tcW w:w="513" w:type="pct"/>
            <w:vAlign w:val="center"/>
            <w:hideMark/>
          </w:tcPr>
          <w:p w14:paraId="12FDDDB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3030932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2.3, 2.6, 4.2, 4.3</w:t>
            </w:r>
          </w:p>
        </w:tc>
      </w:tr>
      <w:tr w:rsidR="005A786E" w:rsidRPr="00965BAA" w14:paraId="28DF01BD"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20C1B14"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Electricity &amp; Cogeneration Regulatory Authority</w:t>
            </w:r>
          </w:p>
        </w:tc>
        <w:tc>
          <w:tcPr>
            <w:tcW w:w="989" w:type="pct"/>
            <w:vAlign w:val="center"/>
            <w:hideMark/>
          </w:tcPr>
          <w:p w14:paraId="1577976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27F7E25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6BB23B7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$21,600,000</w:t>
            </w:r>
          </w:p>
        </w:tc>
        <w:tc>
          <w:tcPr>
            <w:tcW w:w="513" w:type="pct"/>
            <w:vAlign w:val="center"/>
            <w:hideMark/>
          </w:tcPr>
          <w:p w14:paraId="2F9FBEE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1287" w:type="pct"/>
            <w:tcBorders>
              <w:right w:val="single" w:sz="2" w:space="0" w:color="000000" w:themeColor="text1"/>
            </w:tcBorders>
            <w:vAlign w:val="center"/>
          </w:tcPr>
          <w:p w14:paraId="1E6BCE8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2.4, 3.2</w:t>
            </w:r>
          </w:p>
        </w:tc>
      </w:tr>
      <w:tr w:rsidR="005A786E" w:rsidRPr="00965BAA" w14:paraId="0F62357F"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E526A55"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Energy Efficiency Center</w:t>
            </w:r>
          </w:p>
        </w:tc>
        <w:tc>
          <w:tcPr>
            <w:tcW w:w="989" w:type="pct"/>
            <w:vAlign w:val="center"/>
            <w:hideMark/>
          </w:tcPr>
          <w:p w14:paraId="0AC5FAFA"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6839EFD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11B396C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$21,600,000</w:t>
            </w:r>
          </w:p>
        </w:tc>
        <w:tc>
          <w:tcPr>
            <w:tcW w:w="513" w:type="pct"/>
            <w:vAlign w:val="center"/>
            <w:hideMark/>
          </w:tcPr>
          <w:p w14:paraId="31AB16B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8, 10, 16</w:t>
            </w:r>
          </w:p>
        </w:tc>
        <w:tc>
          <w:tcPr>
            <w:tcW w:w="1287" w:type="pct"/>
            <w:tcBorders>
              <w:right w:val="single" w:sz="2" w:space="0" w:color="000000" w:themeColor="text1"/>
            </w:tcBorders>
            <w:vAlign w:val="center"/>
          </w:tcPr>
          <w:p w14:paraId="0B92876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2.4, 3.2</w:t>
            </w:r>
          </w:p>
        </w:tc>
      </w:tr>
      <w:tr w:rsidR="005A786E" w:rsidRPr="00965BAA" w14:paraId="29435D90"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5AAF4E5"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King Abdullah City for Atomic and Renewable Energy</w:t>
            </w:r>
          </w:p>
        </w:tc>
        <w:tc>
          <w:tcPr>
            <w:tcW w:w="989" w:type="pct"/>
            <w:vAlign w:val="center"/>
            <w:hideMark/>
          </w:tcPr>
          <w:p w14:paraId="4A81D207"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7163326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05918DC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$21,600,000</w:t>
            </w:r>
          </w:p>
        </w:tc>
        <w:tc>
          <w:tcPr>
            <w:tcW w:w="513" w:type="pct"/>
            <w:vAlign w:val="center"/>
            <w:hideMark/>
          </w:tcPr>
          <w:p w14:paraId="3BF90EF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8, 10, 16</w:t>
            </w:r>
          </w:p>
        </w:tc>
        <w:tc>
          <w:tcPr>
            <w:tcW w:w="1287" w:type="pct"/>
            <w:tcBorders>
              <w:right w:val="single" w:sz="2" w:space="0" w:color="000000" w:themeColor="text1"/>
            </w:tcBorders>
            <w:vAlign w:val="center"/>
          </w:tcPr>
          <w:p w14:paraId="5CBF12D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2.4, 3.2</w:t>
            </w:r>
          </w:p>
        </w:tc>
      </w:tr>
      <w:tr w:rsidR="005A786E" w:rsidRPr="00965BAA" w14:paraId="2BC0178F"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18691669" w14:textId="77777777" w:rsidR="005A786E" w:rsidRPr="00965BAA" w:rsidRDefault="005A786E" w:rsidP="005A5556">
            <w:pPr>
              <w:spacing w:before="40" w:after="40"/>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lastRenderedPageBreak/>
              <w:t>main governmental partner</w:t>
            </w:r>
          </w:p>
        </w:tc>
        <w:tc>
          <w:tcPr>
            <w:tcW w:w="989" w:type="pct"/>
            <w:vAlign w:val="center"/>
          </w:tcPr>
          <w:p w14:paraId="128D7D5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AFP(s)</w:t>
            </w:r>
          </w:p>
        </w:tc>
        <w:tc>
          <w:tcPr>
            <w:tcW w:w="567" w:type="pct"/>
            <w:noWrap/>
            <w:vAlign w:val="center"/>
          </w:tcPr>
          <w:p w14:paraId="590EE34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Number of Activities</w:t>
            </w:r>
          </w:p>
        </w:tc>
        <w:tc>
          <w:tcPr>
            <w:tcW w:w="636" w:type="pct"/>
            <w:noWrap/>
            <w:vAlign w:val="center"/>
          </w:tcPr>
          <w:p w14:paraId="2B31DEC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Total Estimated Cost</w:t>
            </w:r>
          </w:p>
        </w:tc>
        <w:tc>
          <w:tcPr>
            <w:tcW w:w="513" w:type="pct"/>
            <w:vAlign w:val="center"/>
          </w:tcPr>
          <w:p w14:paraId="333B624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SDGs</w:t>
            </w:r>
          </w:p>
        </w:tc>
        <w:tc>
          <w:tcPr>
            <w:tcW w:w="1287" w:type="pct"/>
            <w:tcBorders>
              <w:right w:val="single" w:sz="2" w:space="0" w:color="000000" w:themeColor="text1"/>
            </w:tcBorders>
            <w:vAlign w:val="center"/>
          </w:tcPr>
          <w:p w14:paraId="08367200"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Vision (Level 2)</w:t>
            </w:r>
          </w:p>
        </w:tc>
      </w:tr>
      <w:tr w:rsidR="005A786E" w:rsidRPr="00965BAA" w14:paraId="4B7ECF7B"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3548D3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Electricity Company</w:t>
            </w:r>
          </w:p>
        </w:tc>
        <w:tc>
          <w:tcPr>
            <w:tcW w:w="989" w:type="pct"/>
            <w:vAlign w:val="center"/>
            <w:hideMark/>
          </w:tcPr>
          <w:p w14:paraId="5DBA164D"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46F65EF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74A6162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$21,600,000</w:t>
            </w:r>
          </w:p>
        </w:tc>
        <w:tc>
          <w:tcPr>
            <w:tcW w:w="513" w:type="pct"/>
            <w:vAlign w:val="center"/>
            <w:hideMark/>
          </w:tcPr>
          <w:p w14:paraId="22ACA9A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54F4B98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2.4, 3.2</w:t>
            </w:r>
          </w:p>
        </w:tc>
      </w:tr>
      <w:tr w:rsidR="005A786E" w:rsidRPr="00965BAA" w14:paraId="62D916EE"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AEA6E2F"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Committee for Mental Health Promotion</w:t>
            </w:r>
          </w:p>
        </w:tc>
        <w:tc>
          <w:tcPr>
            <w:tcW w:w="989" w:type="pct"/>
            <w:vAlign w:val="center"/>
            <w:hideMark/>
          </w:tcPr>
          <w:p w14:paraId="6E91EC5E"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UNICEF</w:t>
            </w:r>
          </w:p>
        </w:tc>
        <w:tc>
          <w:tcPr>
            <w:tcW w:w="567" w:type="pct"/>
            <w:noWrap/>
            <w:vAlign w:val="center"/>
            <w:hideMark/>
          </w:tcPr>
          <w:p w14:paraId="6F25D68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19A4913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$350,000</w:t>
            </w:r>
          </w:p>
        </w:tc>
        <w:tc>
          <w:tcPr>
            <w:tcW w:w="513" w:type="pct"/>
            <w:vAlign w:val="center"/>
            <w:hideMark/>
          </w:tcPr>
          <w:p w14:paraId="5963315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5, 8, 16</w:t>
            </w:r>
          </w:p>
        </w:tc>
        <w:tc>
          <w:tcPr>
            <w:tcW w:w="1287" w:type="pct"/>
            <w:tcBorders>
              <w:right w:val="single" w:sz="2" w:space="0" w:color="000000" w:themeColor="text1"/>
            </w:tcBorders>
            <w:vAlign w:val="center"/>
          </w:tcPr>
          <w:p w14:paraId="4D697C7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w:t>
            </w:r>
          </w:p>
        </w:tc>
      </w:tr>
      <w:tr w:rsidR="005A786E" w:rsidRPr="00965BAA" w14:paraId="421CD81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D5194A8"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King Salman Humanitarian Aid and Relief Center</w:t>
            </w:r>
          </w:p>
        </w:tc>
        <w:tc>
          <w:tcPr>
            <w:tcW w:w="989" w:type="pct"/>
            <w:vAlign w:val="center"/>
            <w:hideMark/>
          </w:tcPr>
          <w:p w14:paraId="7DC0D5F5"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IOM</w:t>
            </w:r>
          </w:p>
        </w:tc>
        <w:tc>
          <w:tcPr>
            <w:tcW w:w="567" w:type="pct"/>
            <w:noWrap/>
            <w:vAlign w:val="center"/>
            <w:hideMark/>
          </w:tcPr>
          <w:p w14:paraId="69DD0B8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6010B0E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$152,000</w:t>
            </w:r>
          </w:p>
        </w:tc>
        <w:tc>
          <w:tcPr>
            <w:tcW w:w="513" w:type="pct"/>
            <w:vAlign w:val="center"/>
            <w:hideMark/>
          </w:tcPr>
          <w:p w14:paraId="7B6087B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2, 6, 12</w:t>
            </w:r>
          </w:p>
        </w:tc>
        <w:tc>
          <w:tcPr>
            <w:tcW w:w="1287" w:type="pct"/>
            <w:tcBorders>
              <w:right w:val="single" w:sz="2" w:space="0" w:color="000000" w:themeColor="text1"/>
            </w:tcBorders>
            <w:vAlign w:val="center"/>
          </w:tcPr>
          <w:p w14:paraId="4142FE2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5.1, 5.2</w:t>
            </w:r>
          </w:p>
        </w:tc>
      </w:tr>
      <w:tr w:rsidR="005A786E" w:rsidRPr="00965BAA" w14:paraId="21C36268"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79AAD7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Naif Arab University for Security Sciences</w:t>
            </w:r>
          </w:p>
        </w:tc>
        <w:tc>
          <w:tcPr>
            <w:tcW w:w="989" w:type="pct"/>
            <w:vAlign w:val="center"/>
            <w:hideMark/>
          </w:tcPr>
          <w:p w14:paraId="33FE8B06"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UNHCR, UNODC</w:t>
            </w:r>
          </w:p>
        </w:tc>
        <w:tc>
          <w:tcPr>
            <w:tcW w:w="567" w:type="pct"/>
            <w:noWrap/>
            <w:vAlign w:val="center"/>
            <w:hideMark/>
          </w:tcPr>
          <w:p w14:paraId="47282D4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6B5D332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$2,210,000</w:t>
            </w:r>
          </w:p>
        </w:tc>
        <w:tc>
          <w:tcPr>
            <w:tcW w:w="513" w:type="pct"/>
            <w:vAlign w:val="center"/>
            <w:hideMark/>
          </w:tcPr>
          <w:p w14:paraId="717FB0B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5, 10, 11</w:t>
            </w:r>
          </w:p>
        </w:tc>
        <w:tc>
          <w:tcPr>
            <w:tcW w:w="1287" w:type="pct"/>
            <w:tcBorders>
              <w:right w:val="single" w:sz="2" w:space="0" w:color="000000" w:themeColor="text1"/>
            </w:tcBorders>
            <w:vAlign w:val="center"/>
          </w:tcPr>
          <w:p w14:paraId="4AAB1EA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w:t>
            </w:r>
          </w:p>
        </w:tc>
      </w:tr>
      <w:tr w:rsidR="005A786E" w:rsidRPr="00965BAA" w14:paraId="50B98CD8"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FA2E7A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Royal Commission for AlUla</w:t>
            </w:r>
          </w:p>
        </w:tc>
        <w:tc>
          <w:tcPr>
            <w:tcW w:w="989" w:type="pct"/>
            <w:vAlign w:val="center"/>
            <w:hideMark/>
          </w:tcPr>
          <w:p w14:paraId="079EC50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 UNESCO</w:t>
            </w:r>
          </w:p>
        </w:tc>
        <w:tc>
          <w:tcPr>
            <w:tcW w:w="567" w:type="pct"/>
            <w:noWrap/>
            <w:vAlign w:val="center"/>
            <w:hideMark/>
          </w:tcPr>
          <w:p w14:paraId="70F91D3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1FE3B7D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$7,250,000</w:t>
            </w:r>
          </w:p>
        </w:tc>
        <w:tc>
          <w:tcPr>
            <w:tcW w:w="513" w:type="pct"/>
            <w:vAlign w:val="center"/>
            <w:hideMark/>
          </w:tcPr>
          <w:p w14:paraId="7E11086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9, 13</w:t>
            </w:r>
          </w:p>
        </w:tc>
        <w:tc>
          <w:tcPr>
            <w:tcW w:w="1287" w:type="pct"/>
            <w:tcBorders>
              <w:right w:val="single" w:sz="2" w:space="0" w:color="000000" w:themeColor="text1"/>
            </w:tcBorders>
            <w:vAlign w:val="center"/>
          </w:tcPr>
          <w:p w14:paraId="6E7D1C7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1.3, 2.3</w:t>
            </w:r>
          </w:p>
        </w:tc>
      </w:tr>
      <w:tr w:rsidR="005A786E" w:rsidRPr="00965BAA" w14:paraId="07BFC2D7"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95D1A4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Development and Reconstruction Program for Yemen</w:t>
            </w:r>
          </w:p>
        </w:tc>
        <w:tc>
          <w:tcPr>
            <w:tcW w:w="989" w:type="pct"/>
            <w:vAlign w:val="center"/>
            <w:hideMark/>
          </w:tcPr>
          <w:p w14:paraId="03C6E207"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7FD9E94D"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65D8291B"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$3,100,000</w:t>
            </w:r>
          </w:p>
        </w:tc>
        <w:tc>
          <w:tcPr>
            <w:tcW w:w="513" w:type="pct"/>
            <w:vAlign w:val="center"/>
            <w:hideMark/>
          </w:tcPr>
          <w:p w14:paraId="30ADCDA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w:t>
            </w:r>
          </w:p>
        </w:tc>
        <w:tc>
          <w:tcPr>
            <w:tcW w:w="1287" w:type="pct"/>
            <w:tcBorders>
              <w:right w:val="single" w:sz="2" w:space="0" w:color="000000" w:themeColor="text1"/>
            </w:tcBorders>
            <w:vAlign w:val="center"/>
          </w:tcPr>
          <w:p w14:paraId="16B70EC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3.1, 3.7, 5.2</w:t>
            </w:r>
          </w:p>
        </w:tc>
      </w:tr>
      <w:tr w:rsidR="005A786E" w:rsidRPr="00965BAA" w14:paraId="6546CABF"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2A268F4"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King Abdulaziz Center for National Dialogue</w:t>
            </w:r>
          </w:p>
        </w:tc>
        <w:tc>
          <w:tcPr>
            <w:tcW w:w="989" w:type="pct"/>
            <w:vAlign w:val="center"/>
            <w:hideMark/>
          </w:tcPr>
          <w:p w14:paraId="0BA130FC"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ILO, UNDP</w:t>
            </w:r>
          </w:p>
        </w:tc>
        <w:tc>
          <w:tcPr>
            <w:tcW w:w="567" w:type="pct"/>
            <w:noWrap/>
            <w:vAlign w:val="center"/>
            <w:hideMark/>
          </w:tcPr>
          <w:p w14:paraId="41E0ECF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6CEEB8A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$420,000</w:t>
            </w:r>
          </w:p>
        </w:tc>
        <w:tc>
          <w:tcPr>
            <w:tcW w:w="513" w:type="pct"/>
            <w:vAlign w:val="center"/>
            <w:hideMark/>
          </w:tcPr>
          <w:p w14:paraId="1D2E0BF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w:t>
            </w:r>
          </w:p>
        </w:tc>
        <w:tc>
          <w:tcPr>
            <w:tcW w:w="1287" w:type="pct"/>
            <w:tcBorders>
              <w:right w:val="single" w:sz="2" w:space="0" w:color="000000" w:themeColor="text1"/>
            </w:tcBorders>
            <w:vAlign w:val="center"/>
          </w:tcPr>
          <w:p w14:paraId="0A8D2EB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1.3, 5.3</w:t>
            </w:r>
          </w:p>
        </w:tc>
      </w:tr>
      <w:tr w:rsidR="005A786E" w:rsidRPr="00965BAA" w14:paraId="563D2148"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7DCE32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Committee to Combat Trafficking</w:t>
            </w:r>
          </w:p>
        </w:tc>
        <w:tc>
          <w:tcPr>
            <w:tcW w:w="989" w:type="pct"/>
            <w:vAlign w:val="center"/>
            <w:hideMark/>
          </w:tcPr>
          <w:p w14:paraId="2003C409"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4B8457D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2F2A093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$2,525,000</w:t>
            </w:r>
          </w:p>
        </w:tc>
        <w:tc>
          <w:tcPr>
            <w:tcW w:w="513" w:type="pct"/>
            <w:vAlign w:val="center"/>
            <w:hideMark/>
          </w:tcPr>
          <w:p w14:paraId="7AB0CC2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w:t>
            </w:r>
          </w:p>
        </w:tc>
        <w:tc>
          <w:tcPr>
            <w:tcW w:w="1287" w:type="pct"/>
            <w:tcBorders>
              <w:right w:val="single" w:sz="2" w:space="0" w:color="000000" w:themeColor="text1"/>
            </w:tcBorders>
            <w:vAlign w:val="center"/>
          </w:tcPr>
          <w:p w14:paraId="6B9535C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2.1, 4.4, 5.2, 6.2</w:t>
            </w:r>
          </w:p>
        </w:tc>
      </w:tr>
      <w:tr w:rsidR="005A786E" w:rsidRPr="00965BAA" w14:paraId="3F59EFD2"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232A91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Council of Saudi Chambers</w:t>
            </w:r>
          </w:p>
        </w:tc>
        <w:tc>
          <w:tcPr>
            <w:tcW w:w="989" w:type="pct"/>
            <w:vAlign w:val="center"/>
            <w:hideMark/>
          </w:tcPr>
          <w:p w14:paraId="6C8D9A57"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ILO</w:t>
            </w:r>
          </w:p>
        </w:tc>
        <w:tc>
          <w:tcPr>
            <w:tcW w:w="567" w:type="pct"/>
            <w:noWrap/>
            <w:vAlign w:val="center"/>
            <w:hideMark/>
          </w:tcPr>
          <w:p w14:paraId="0F66E44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7950857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$360,000</w:t>
            </w:r>
          </w:p>
        </w:tc>
        <w:tc>
          <w:tcPr>
            <w:tcW w:w="513" w:type="pct"/>
            <w:vAlign w:val="center"/>
            <w:hideMark/>
          </w:tcPr>
          <w:p w14:paraId="211DAC0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w:t>
            </w:r>
          </w:p>
        </w:tc>
        <w:tc>
          <w:tcPr>
            <w:tcW w:w="1287" w:type="pct"/>
            <w:tcBorders>
              <w:right w:val="single" w:sz="2" w:space="0" w:color="000000" w:themeColor="text1"/>
            </w:tcBorders>
            <w:vAlign w:val="center"/>
          </w:tcPr>
          <w:p w14:paraId="0A5D7B9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4.4, 5.3</w:t>
            </w:r>
          </w:p>
        </w:tc>
      </w:tr>
      <w:tr w:rsidR="005A786E" w:rsidRPr="00965BAA" w14:paraId="7A6F0B5F"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8522114"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Anti-Money Laundering Permanent Committee</w:t>
            </w:r>
          </w:p>
        </w:tc>
        <w:tc>
          <w:tcPr>
            <w:tcW w:w="989" w:type="pct"/>
            <w:vAlign w:val="center"/>
            <w:hideMark/>
          </w:tcPr>
          <w:p w14:paraId="01CBFBA6"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0981BAB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50E3D24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$5,200,000</w:t>
            </w:r>
          </w:p>
        </w:tc>
        <w:tc>
          <w:tcPr>
            <w:tcW w:w="513" w:type="pct"/>
            <w:vAlign w:val="center"/>
            <w:hideMark/>
          </w:tcPr>
          <w:p w14:paraId="4F078EB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1287" w:type="pct"/>
            <w:tcBorders>
              <w:right w:val="single" w:sz="2" w:space="0" w:color="000000" w:themeColor="text1"/>
            </w:tcBorders>
            <w:vAlign w:val="center"/>
          </w:tcPr>
          <w:p w14:paraId="6FFA8FE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3.1, 3.6, 5.2</w:t>
            </w:r>
          </w:p>
        </w:tc>
      </w:tr>
      <w:tr w:rsidR="005A786E" w:rsidRPr="00965BAA" w14:paraId="37A2AD6D"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11142AEF"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National Committee of Workers Committees</w:t>
            </w:r>
          </w:p>
        </w:tc>
        <w:tc>
          <w:tcPr>
            <w:tcW w:w="989" w:type="pct"/>
            <w:vAlign w:val="center"/>
            <w:hideMark/>
          </w:tcPr>
          <w:p w14:paraId="4DBFCA32"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ILO</w:t>
            </w:r>
          </w:p>
        </w:tc>
        <w:tc>
          <w:tcPr>
            <w:tcW w:w="567" w:type="pct"/>
            <w:noWrap/>
            <w:vAlign w:val="center"/>
            <w:hideMark/>
          </w:tcPr>
          <w:p w14:paraId="51BCC2E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518E9AA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$360,000</w:t>
            </w:r>
          </w:p>
        </w:tc>
        <w:tc>
          <w:tcPr>
            <w:tcW w:w="513" w:type="pct"/>
            <w:vAlign w:val="center"/>
            <w:hideMark/>
          </w:tcPr>
          <w:p w14:paraId="66CF8DA5"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10, 16</w:t>
            </w:r>
          </w:p>
        </w:tc>
        <w:tc>
          <w:tcPr>
            <w:tcW w:w="1287" w:type="pct"/>
            <w:tcBorders>
              <w:right w:val="single" w:sz="2" w:space="0" w:color="000000" w:themeColor="text1"/>
            </w:tcBorders>
            <w:vAlign w:val="center"/>
          </w:tcPr>
          <w:p w14:paraId="4379EDC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4.4, 5.3</w:t>
            </w:r>
          </w:p>
        </w:tc>
      </w:tr>
      <w:tr w:rsidR="005A786E" w:rsidRPr="00965BAA" w14:paraId="6BA0453F"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6E3FDC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Presidency of Meteorology and Environment (PME)</w:t>
            </w:r>
          </w:p>
        </w:tc>
        <w:tc>
          <w:tcPr>
            <w:tcW w:w="989" w:type="pct"/>
            <w:vAlign w:val="center"/>
            <w:hideMark/>
          </w:tcPr>
          <w:p w14:paraId="238C54BA"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UNIDO</w:t>
            </w:r>
          </w:p>
        </w:tc>
        <w:tc>
          <w:tcPr>
            <w:tcW w:w="567" w:type="pct"/>
            <w:noWrap/>
            <w:vAlign w:val="center"/>
            <w:hideMark/>
          </w:tcPr>
          <w:p w14:paraId="599B205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w:t>
            </w:r>
          </w:p>
        </w:tc>
        <w:tc>
          <w:tcPr>
            <w:tcW w:w="636" w:type="pct"/>
            <w:noWrap/>
            <w:vAlign w:val="center"/>
            <w:hideMark/>
          </w:tcPr>
          <w:p w14:paraId="2F3468F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$1,353,465</w:t>
            </w:r>
          </w:p>
        </w:tc>
        <w:tc>
          <w:tcPr>
            <w:tcW w:w="513" w:type="pct"/>
            <w:vAlign w:val="center"/>
            <w:hideMark/>
          </w:tcPr>
          <w:p w14:paraId="08ACCBB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8, 11</w:t>
            </w:r>
          </w:p>
        </w:tc>
        <w:tc>
          <w:tcPr>
            <w:tcW w:w="1287" w:type="pct"/>
            <w:tcBorders>
              <w:right w:val="single" w:sz="2" w:space="0" w:color="000000" w:themeColor="text1"/>
            </w:tcBorders>
            <w:vAlign w:val="center"/>
          </w:tcPr>
          <w:p w14:paraId="6810E7F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r>
      <w:tr w:rsidR="005A786E" w:rsidRPr="00965BAA" w14:paraId="25420C9C"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E8D8382"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Culture</w:t>
            </w:r>
          </w:p>
        </w:tc>
        <w:tc>
          <w:tcPr>
            <w:tcW w:w="989" w:type="pct"/>
            <w:vAlign w:val="center"/>
            <w:hideMark/>
          </w:tcPr>
          <w:p w14:paraId="15FB1BB9"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UNESCO, UNCTAD</w:t>
            </w:r>
          </w:p>
        </w:tc>
        <w:tc>
          <w:tcPr>
            <w:tcW w:w="567" w:type="pct"/>
            <w:noWrap/>
            <w:vAlign w:val="center"/>
            <w:hideMark/>
          </w:tcPr>
          <w:p w14:paraId="5D6347A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636" w:type="pct"/>
            <w:noWrap/>
            <w:vAlign w:val="center"/>
            <w:hideMark/>
          </w:tcPr>
          <w:p w14:paraId="44C1658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$28,000,000</w:t>
            </w:r>
          </w:p>
        </w:tc>
        <w:tc>
          <w:tcPr>
            <w:tcW w:w="513" w:type="pct"/>
            <w:vAlign w:val="center"/>
            <w:hideMark/>
          </w:tcPr>
          <w:p w14:paraId="4A61CAC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4, 8, 16</w:t>
            </w:r>
          </w:p>
        </w:tc>
        <w:tc>
          <w:tcPr>
            <w:tcW w:w="1287" w:type="pct"/>
            <w:tcBorders>
              <w:right w:val="single" w:sz="2" w:space="0" w:color="000000" w:themeColor="text1"/>
            </w:tcBorders>
            <w:vAlign w:val="center"/>
          </w:tcPr>
          <w:p w14:paraId="24AD3E7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w:t>
            </w:r>
          </w:p>
        </w:tc>
      </w:tr>
      <w:tr w:rsidR="005A786E" w:rsidRPr="00965BAA" w14:paraId="734F2AC6"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1EA8B0B"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Ministry of Communication and Information</w:t>
            </w:r>
          </w:p>
        </w:tc>
        <w:tc>
          <w:tcPr>
            <w:tcW w:w="989" w:type="pct"/>
            <w:vAlign w:val="center"/>
            <w:hideMark/>
          </w:tcPr>
          <w:p w14:paraId="4DE5250C"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6ACB278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0EB8750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$2,578,239</w:t>
            </w:r>
          </w:p>
        </w:tc>
        <w:tc>
          <w:tcPr>
            <w:tcW w:w="513" w:type="pct"/>
            <w:vAlign w:val="center"/>
            <w:hideMark/>
          </w:tcPr>
          <w:p w14:paraId="556D971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8, 11</w:t>
            </w:r>
          </w:p>
        </w:tc>
        <w:tc>
          <w:tcPr>
            <w:tcW w:w="1287" w:type="pct"/>
            <w:tcBorders>
              <w:right w:val="single" w:sz="2" w:space="0" w:color="000000" w:themeColor="text1"/>
            </w:tcBorders>
            <w:vAlign w:val="center"/>
          </w:tcPr>
          <w:p w14:paraId="6849D3C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3.1, 5.2</w:t>
            </w:r>
          </w:p>
        </w:tc>
      </w:tr>
      <w:tr w:rsidR="005A786E" w:rsidRPr="00965BAA" w14:paraId="4687CFA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F28DCD3"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General Organization for Social Insurance</w:t>
            </w:r>
          </w:p>
        </w:tc>
        <w:tc>
          <w:tcPr>
            <w:tcW w:w="989" w:type="pct"/>
            <w:vAlign w:val="center"/>
            <w:hideMark/>
          </w:tcPr>
          <w:p w14:paraId="1DAC5DE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ILO</w:t>
            </w:r>
          </w:p>
        </w:tc>
        <w:tc>
          <w:tcPr>
            <w:tcW w:w="567" w:type="pct"/>
            <w:noWrap/>
            <w:vAlign w:val="center"/>
            <w:hideMark/>
          </w:tcPr>
          <w:p w14:paraId="789B12D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702E136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$250,000</w:t>
            </w:r>
          </w:p>
        </w:tc>
        <w:tc>
          <w:tcPr>
            <w:tcW w:w="513" w:type="pct"/>
            <w:vAlign w:val="center"/>
            <w:hideMark/>
          </w:tcPr>
          <w:p w14:paraId="32AC104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0DF9E30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2.1, 4.2, 4.4</w:t>
            </w:r>
          </w:p>
        </w:tc>
      </w:tr>
      <w:tr w:rsidR="005A786E" w:rsidRPr="00965BAA" w14:paraId="703D302D"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6335E50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Heritage Preservation Society</w:t>
            </w:r>
          </w:p>
        </w:tc>
        <w:tc>
          <w:tcPr>
            <w:tcW w:w="989" w:type="pct"/>
            <w:vAlign w:val="center"/>
            <w:hideMark/>
          </w:tcPr>
          <w:p w14:paraId="25A10415"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UNESCO</w:t>
            </w:r>
          </w:p>
        </w:tc>
        <w:tc>
          <w:tcPr>
            <w:tcW w:w="567" w:type="pct"/>
            <w:noWrap/>
            <w:vAlign w:val="center"/>
            <w:hideMark/>
          </w:tcPr>
          <w:p w14:paraId="2D2663B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34CCEF6D"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$250,000</w:t>
            </w:r>
          </w:p>
        </w:tc>
        <w:tc>
          <w:tcPr>
            <w:tcW w:w="513" w:type="pct"/>
            <w:vAlign w:val="center"/>
            <w:hideMark/>
          </w:tcPr>
          <w:p w14:paraId="3509F10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1, 3</w:t>
            </w:r>
          </w:p>
        </w:tc>
        <w:tc>
          <w:tcPr>
            <w:tcW w:w="1287" w:type="pct"/>
            <w:tcBorders>
              <w:right w:val="single" w:sz="2" w:space="0" w:color="000000" w:themeColor="text1"/>
            </w:tcBorders>
            <w:vAlign w:val="center"/>
          </w:tcPr>
          <w:p w14:paraId="5971725D"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r>
      <w:tr w:rsidR="005A786E" w:rsidRPr="00965BAA" w14:paraId="6F059E61"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66E18BE"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Sultan bin Abdulaziz Al Saud Foundation</w:t>
            </w:r>
          </w:p>
        </w:tc>
        <w:tc>
          <w:tcPr>
            <w:tcW w:w="989" w:type="pct"/>
            <w:vAlign w:val="center"/>
            <w:hideMark/>
          </w:tcPr>
          <w:p w14:paraId="78B82E86"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UNESCO</w:t>
            </w:r>
          </w:p>
        </w:tc>
        <w:tc>
          <w:tcPr>
            <w:tcW w:w="567" w:type="pct"/>
            <w:noWrap/>
            <w:vAlign w:val="center"/>
            <w:hideMark/>
          </w:tcPr>
          <w:p w14:paraId="4CDDD47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752D014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$840,000</w:t>
            </w:r>
          </w:p>
        </w:tc>
        <w:tc>
          <w:tcPr>
            <w:tcW w:w="513" w:type="pct"/>
            <w:vAlign w:val="center"/>
            <w:hideMark/>
          </w:tcPr>
          <w:p w14:paraId="5A97843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8</w:t>
            </w:r>
          </w:p>
        </w:tc>
        <w:tc>
          <w:tcPr>
            <w:tcW w:w="1287" w:type="pct"/>
            <w:tcBorders>
              <w:right w:val="single" w:sz="2" w:space="0" w:color="000000" w:themeColor="text1"/>
            </w:tcBorders>
            <w:vAlign w:val="center"/>
          </w:tcPr>
          <w:p w14:paraId="01B7460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1.3</w:t>
            </w:r>
          </w:p>
        </w:tc>
      </w:tr>
      <w:tr w:rsidR="005A786E" w:rsidRPr="00965BAA" w14:paraId="6B65D580"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599DF69"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Quality of Life Program</w:t>
            </w:r>
          </w:p>
        </w:tc>
        <w:tc>
          <w:tcPr>
            <w:tcW w:w="989" w:type="pct"/>
            <w:vAlign w:val="center"/>
            <w:hideMark/>
          </w:tcPr>
          <w:p w14:paraId="3B1C8667"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w:t>
            </w:r>
          </w:p>
        </w:tc>
        <w:tc>
          <w:tcPr>
            <w:tcW w:w="567" w:type="pct"/>
            <w:noWrap/>
            <w:vAlign w:val="center"/>
            <w:hideMark/>
          </w:tcPr>
          <w:p w14:paraId="505CED4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180821D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$11,000,000</w:t>
            </w:r>
          </w:p>
        </w:tc>
        <w:tc>
          <w:tcPr>
            <w:tcW w:w="513" w:type="pct"/>
            <w:vAlign w:val="center"/>
            <w:hideMark/>
          </w:tcPr>
          <w:p w14:paraId="0B07663D"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17</w:t>
            </w:r>
          </w:p>
        </w:tc>
        <w:tc>
          <w:tcPr>
            <w:tcW w:w="1287" w:type="pct"/>
            <w:tcBorders>
              <w:right w:val="single" w:sz="2" w:space="0" w:color="000000" w:themeColor="text1"/>
            </w:tcBorders>
            <w:vAlign w:val="center"/>
          </w:tcPr>
          <w:p w14:paraId="35E9F4E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2.3, 2.5, 3.1</w:t>
            </w:r>
          </w:p>
        </w:tc>
      </w:tr>
      <w:tr w:rsidR="005A786E" w:rsidRPr="00965BAA" w14:paraId="74FE1999"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CBC928D"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State Properties General Authority</w:t>
            </w:r>
          </w:p>
        </w:tc>
        <w:tc>
          <w:tcPr>
            <w:tcW w:w="989" w:type="pct"/>
            <w:vAlign w:val="center"/>
            <w:hideMark/>
          </w:tcPr>
          <w:p w14:paraId="294EF93A"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UN-Habitat</w:t>
            </w:r>
          </w:p>
        </w:tc>
        <w:tc>
          <w:tcPr>
            <w:tcW w:w="567" w:type="pct"/>
            <w:noWrap/>
            <w:vAlign w:val="center"/>
            <w:hideMark/>
          </w:tcPr>
          <w:p w14:paraId="55BBDCEB"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2316FBB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$1,200,000</w:t>
            </w:r>
          </w:p>
        </w:tc>
        <w:tc>
          <w:tcPr>
            <w:tcW w:w="513" w:type="pct"/>
            <w:vAlign w:val="center"/>
            <w:hideMark/>
          </w:tcPr>
          <w:p w14:paraId="43C354E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15</w:t>
            </w:r>
          </w:p>
        </w:tc>
        <w:tc>
          <w:tcPr>
            <w:tcW w:w="1287" w:type="pct"/>
            <w:tcBorders>
              <w:right w:val="single" w:sz="2" w:space="0" w:color="000000" w:themeColor="text1"/>
            </w:tcBorders>
            <w:vAlign w:val="center"/>
          </w:tcPr>
          <w:p w14:paraId="379BF47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5.1, 5.2</w:t>
            </w:r>
          </w:p>
        </w:tc>
      </w:tr>
      <w:tr w:rsidR="005A786E" w:rsidRPr="00965BAA" w14:paraId="3DDEB6C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328EE67"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Central Bank</w:t>
            </w:r>
          </w:p>
        </w:tc>
        <w:tc>
          <w:tcPr>
            <w:tcW w:w="989" w:type="pct"/>
            <w:vAlign w:val="center"/>
            <w:hideMark/>
          </w:tcPr>
          <w:p w14:paraId="644ECDF1"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3E3F7F4D"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25038444"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$4,000,000</w:t>
            </w:r>
          </w:p>
        </w:tc>
        <w:tc>
          <w:tcPr>
            <w:tcW w:w="513" w:type="pct"/>
            <w:vAlign w:val="center"/>
            <w:hideMark/>
          </w:tcPr>
          <w:p w14:paraId="12F5EFA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w:t>
            </w:r>
          </w:p>
        </w:tc>
        <w:tc>
          <w:tcPr>
            <w:tcW w:w="1287" w:type="pct"/>
            <w:tcBorders>
              <w:right w:val="single" w:sz="2" w:space="0" w:color="000000" w:themeColor="text1"/>
            </w:tcBorders>
            <w:vAlign w:val="center"/>
          </w:tcPr>
          <w:p w14:paraId="7FF6E5E6"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3.1, 3.6</w:t>
            </w:r>
          </w:p>
        </w:tc>
      </w:tr>
      <w:tr w:rsidR="005A786E" w:rsidRPr="00965BAA" w14:paraId="60E4B43F"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2416741E"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Customs</w:t>
            </w:r>
          </w:p>
        </w:tc>
        <w:tc>
          <w:tcPr>
            <w:tcW w:w="989" w:type="pct"/>
            <w:vAlign w:val="center"/>
            <w:hideMark/>
          </w:tcPr>
          <w:p w14:paraId="0C71607E"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748F811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4058157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$1,800,000</w:t>
            </w:r>
          </w:p>
        </w:tc>
        <w:tc>
          <w:tcPr>
            <w:tcW w:w="513" w:type="pct"/>
            <w:vAlign w:val="center"/>
            <w:hideMark/>
          </w:tcPr>
          <w:p w14:paraId="0E3D36D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5D6E05E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3.1, 3.5</w:t>
            </w:r>
          </w:p>
        </w:tc>
      </w:tr>
      <w:tr w:rsidR="005A786E" w:rsidRPr="00965BAA" w14:paraId="646ED622"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40E3CC79"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Arabia Financial Investigation Unit</w:t>
            </w:r>
          </w:p>
        </w:tc>
        <w:tc>
          <w:tcPr>
            <w:tcW w:w="989" w:type="pct"/>
            <w:vAlign w:val="center"/>
            <w:hideMark/>
          </w:tcPr>
          <w:p w14:paraId="7E2813E5"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6290458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53C755E1"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$4,000,000</w:t>
            </w:r>
          </w:p>
        </w:tc>
        <w:tc>
          <w:tcPr>
            <w:tcW w:w="513" w:type="pct"/>
            <w:vAlign w:val="center"/>
            <w:hideMark/>
          </w:tcPr>
          <w:p w14:paraId="213687C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4403E4D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3.1, 3.6</w:t>
            </w:r>
          </w:p>
        </w:tc>
      </w:tr>
      <w:tr w:rsidR="005A786E" w:rsidRPr="00965BAA" w14:paraId="305F81B0"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B19C1E1"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General Directorate of Border Guard</w:t>
            </w:r>
          </w:p>
        </w:tc>
        <w:tc>
          <w:tcPr>
            <w:tcW w:w="989" w:type="pct"/>
            <w:vAlign w:val="center"/>
            <w:hideMark/>
          </w:tcPr>
          <w:p w14:paraId="762F7AF3"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168CAE8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2E10E47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$1,800,000</w:t>
            </w:r>
          </w:p>
        </w:tc>
        <w:tc>
          <w:tcPr>
            <w:tcW w:w="513" w:type="pct"/>
            <w:vAlign w:val="center"/>
            <w:hideMark/>
          </w:tcPr>
          <w:p w14:paraId="591A48A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6062262D"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3.1, 3.5</w:t>
            </w:r>
          </w:p>
        </w:tc>
      </w:tr>
      <w:tr w:rsidR="005A786E" w:rsidRPr="00965BAA" w14:paraId="25C54620"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5AFF01A5"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Mohammed bin Nayef Counseling and Care Center</w:t>
            </w:r>
          </w:p>
        </w:tc>
        <w:tc>
          <w:tcPr>
            <w:tcW w:w="989" w:type="pct"/>
            <w:vAlign w:val="center"/>
            <w:hideMark/>
          </w:tcPr>
          <w:p w14:paraId="03EF0670"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03D6B4F5"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5EE8CC4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$2,200,000</w:t>
            </w:r>
          </w:p>
        </w:tc>
        <w:tc>
          <w:tcPr>
            <w:tcW w:w="513" w:type="pct"/>
            <w:vAlign w:val="center"/>
            <w:hideMark/>
          </w:tcPr>
          <w:p w14:paraId="23F2BA1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31DA7B9F"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1.1, 1.3</w:t>
            </w:r>
          </w:p>
        </w:tc>
      </w:tr>
      <w:tr w:rsidR="005A786E" w:rsidRPr="00965BAA" w14:paraId="499C1126"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tcPr>
          <w:p w14:paraId="1C1FF86B" w14:textId="77777777" w:rsidR="005A786E" w:rsidRPr="00965BAA" w:rsidRDefault="005A786E" w:rsidP="005A5556">
            <w:pPr>
              <w:spacing w:before="40" w:after="40"/>
              <w:jc w:val="center"/>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lastRenderedPageBreak/>
              <w:t>main governmental partner</w:t>
            </w:r>
          </w:p>
        </w:tc>
        <w:tc>
          <w:tcPr>
            <w:tcW w:w="989" w:type="pct"/>
            <w:vAlign w:val="center"/>
          </w:tcPr>
          <w:p w14:paraId="1189DC98"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AFP(s)</w:t>
            </w:r>
          </w:p>
        </w:tc>
        <w:tc>
          <w:tcPr>
            <w:tcW w:w="567" w:type="pct"/>
            <w:noWrap/>
            <w:vAlign w:val="center"/>
          </w:tcPr>
          <w:p w14:paraId="70E05DC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Number of Activities</w:t>
            </w:r>
          </w:p>
        </w:tc>
        <w:tc>
          <w:tcPr>
            <w:tcW w:w="636" w:type="pct"/>
            <w:noWrap/>
            <w:vAlign w:val="center"/>
          </w:tcPr>
          <w:p w14:paraId="6A7A7BB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Total Estimated Cost</w:t>
            </w:r>
          </w:p>
        </w:tc>
        <w:tc>
          <w:tcPr>
            <w:tcW w:w="513" w:type="pct"/>
            <w:vAlign w:val="center"/>
          </w:tcPr>
          <w:p w14:paraId="77E95FB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SDGs</w:t>
            </w:r>
          </w:p>
        </w:tc>
        <w:tc>
          <w:tcPr>
            <w:tcW w:w="1287" w:type="pct"/>
            <w:tcBorders>
              <w:right w:val="single" w:sz="2" w:space="0" w:color="000000" w:themeColor="text1"/>
            </w:tcBorders>
            <w:vAlign w:val="center"/>
          </w:tcPr>
          <w:p w14:paraId="4F09E4D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Vision (Level 2)</w:t>
            </w:r>
          </w:p>
        </w:tc>
      </w:tr>
      <w:tr w:rsidR="005A786E" w:rsidRPr="00965BAA" w14:paraId="486288E5"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34AB5E0"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Bar Association</w:t>
            </w:r>
          </w:p>
        </w:tc>
        <w:tc>
          <w:tcPr>
            <w:tcW w:w="989" w:type="pct"/>
            <w:vAlign w:val="center"/>
            <w:hideMark/>
          </w:tcPr>
          <w:p w14:paraId="64300865"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UNODC</w:t>
            </w:r>
          </w:p>
        </w:tc>
        <w:tc>
          <w:tcPr>
            <w:tcW w:w="567" w:type="pct"/>
            <w:noWrap/>
            <w:vAlign w:val="center"/>
            <w:hideMark/>
          </w:tcPr>
          <w:p w14:paraId="21BF097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38DB3E5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$2,200,000</w:t>
            </w:r>
          </w:p>
        </w:tc>
        <w:tc>
          <w:tcPr>
            <w:tcW w:w="513" w:type="pct"/>
            <w:vAlign w:val="center"/>
            <w:hideMark/>
          </w:tcPr>
          <w:p w14:paraId="4DF2C80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75F162A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2.6, 6.3</w:t>
            </w:r>
          </w:p>
        </w:tc>
      </w:tr>
      <w:tr w:rsidR="005A786E" w:rsidRPr="00965BAA" w14:paraId="07A8C977"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72A862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Irrigation Organization</w:t>
            </w:r>
          </w:p>
        </w:tc>
        <w:tc>
          <w:tcPr>
            <w:tcW w:w="989" w:type="pct"/>
            <w:vAlign w:val="center"/>
            <w:hideMark/>
          </w:tcPr>
          <w:p w14:paraId="056901D3"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FAO</w:t>
            </w:r>
          </w:p>
        </w:tc>
        <w:tc>
          <w:tcPr>
            <w:tcW w:w="567" w:type="pct"/>
            <w:noWrap/>
            <w:vAlign w:val="center"/>
            <w:hideMark/>
          </w:tcPr>
          <w:p w14:paraId="2877C0F6"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153277E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$7,000,000</w:t>
            </w:r>
          </w:p>
        </w:tc>
        <w:tc>
          <w:tcPr>
            <w:tcW w:w="513" w:type="pct"/>
            <w:vAlign w:val="center"/>
            <w:hideMark/>
          </w:tcPr>
          <w:p w14:paraId="4C2DDCC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16</w:t>
            </w:r>
          </w:p>
        </w:tc>
        <w:tc>
          <w:tcPr>
            <w:tcW w:w="1287" w:type="pct"/>
            <w:tcBorders>
              <w:right w:val="single" w:sz="2" w:space="0" w:color="000000" w:themeColor="text1"/>
            </w:tcBorders>
            <w:vAlign w:val="center"/>
          </w:tcPr>
          <w:p w14:paraId="167AFF82"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5.2, 5.4</w:t>
            </w:r>
          </w:p>
        </w:tc>
      </w:tr>
      <w:tr w:rsidR="005A786E" w:rsidRPr="00965BAA" w14:paraId="0764770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71458649"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Digital Cooperation Organization</w:t>
            </w:r>
          </w:p>
        </w:tc>
        <w:tc>
          <w:tcPr>
            <w:tcW w:w="989" w:type="pct"/>
            <w:vAlign w:val="center"/>
            <w:hideMark/>
          </w:tcPr>
          <w:p w14:paraId="133D973B"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3CDF7DE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64ED43EE"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$2,279,706</w:t>
            </w:r>
          </w:p>
        </w:tc>
        <w:tc>
          <w:tcPr>
            <w:tcW w:w="513" w:type="pct"/>
            <w:vAlign w:val="center"/>
            <w:hideMark/>
          </w:tcPr>
          <w:p w14:paraId="7D53F2D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w:t>
            </w:r>
          </w:p>
        </w:tc>
        <w:tc>
          <w:tcPr>
            <w:tcW w:w="1287" w:type="pct"/>
            <w:tcBorders>
              <w:right w:val="single" w:sz="2" w:space="0" w:color="000000" w:themeColor="text1"/>
            </w:tcBorders>
            <w:vAlign w:val="center"/>
          </w:tcPr>
          <w:p w14:paraId="1897820A"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3.3, 6.2</w:t>
            </w:r>
          </w:p>
        </w:tc>
      </w:tr>
      <w:tr w:rsidR="005A786E" w:rsidRPr="00965BAA" w14:paraId="30EDEE8E"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4360BC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AlJanoub Local Women NGO in Aseer</w:t>
            </w:r>
          </w:p>
        </w:tc>
        <w:tc>
          <w:tcPr>
            <w:tcW w:w="989" w:type="pct"/>
            <w:vAlign w:val="center"/>
            <w:hideMark/>
          </w:tcPr>
          <w:p w14:paraId="186E7D6E"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61CE97E9"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4DA6B34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$100,000</w:t>
            </w:r>
          </w:p>
        </w:tc>
        <w:tc>
          <w:tcPr>
            <w:tcW w:w="513" w:type="pct"/>
            <w:vAlign w:val="center"/>
            <w:hideMark/>
          </w:tcPr>
          <w:p w14:paraId="0F38079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w:t>
            </w:r>
          </w:p>
        </w:tc>
        <w:tc>
          <w:tcPr>
            <w:tcW w:w="1287" w:type="pct"/>
            <w:tcBorders>
              <w:right w:val="single" w:sz="2" w:space="0" w:color="000000" w:themeColor="text1"/>
            </w:tcBorders>
            <w:vAlign w:val="center"/>
          </w:tcPr>
          <w:p w14:paraId="7387845E"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7.4</w:t>
            </w:r>
          </w:p>
        </w:tc>
      </w:tr>
      <w:tr w:rsidR="005A786E" w:rsidRPr="00965BAA" w14:paraId="21F13278"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2E58059"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Disability Centers</w:t>
            </w:r>
          </w:p>
        </w:tc>
        <w:tc>
          <w:tcPr>
            <w:tcW w:w="989" w:type="pct"/>
            <w:vAlign w:val="center"/>
            <w:hideMark/>
          </w:tcPr>
          <w:p w14:paraId="2979AA1B"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UNDP</w:t>
            </w:r>
          </w:p>
        </w:tc>
        <w:tc>
          <w:tcPr>
            <w:tcW w:w="567" w:type="pct"/>
            <w:noWrap/>
            <w:vAlign w:val="center"/>
            <w:hideMark/>
          </w:tcPr>
          <w:p w14:paraId="3B7F842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25FCDA47"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$5,000,000</w:t>
            </w:r>
          </w:p>
        </w:tc>
        <w:tc>
          <w:tcPr>
            <w:tcW w:w="513" w:type="pct"/>
            <w:vAlign w:val="center"/>
            <w:hideMark/>
          </w:tcPr>
          <w:p w14:paraId="704EAC08"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3</w:t>
            </w:r>
          </w:p>
        </w:tc>
        <w:tc>
          <w:tcPr>
            <w:tcW w:w="1287" w:type="pct"/>
            <w:tcBorders>
              <w:right w:val="single" w:sz="2" w:space="0" w:color="000000" w:themeColor="text1"/>
            </w:tcBorders>
            <w:vAlign w:val="center"/>
          </w:tcPr>
          <w:p w14:paraId="152AB1B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4.2</w:t>
            </w:r>
          </w:p>
        </w:tc>
      </w:tr>
      <w:tr w:rsidR="005A786E" w:rsidRPr="00965BAA" w14:paraId="713149CD"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3D29EFC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National Industrial Clusters Development Program (IC)</w:t>
            </w:r>
          </w:p>
        </w:tc>
        <w:tc>
          <w:tcPr>
            <w:tcW w:w="989" w:type="pct"/>
            <w:vAlign w:val="center"/>
            <w:hideMark/>
          </w:tcPr>
          <w:p w14:paraId="0CE05207"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UNIDO</w:t>
            </w:r>
          </w:p>
        </w:tc>
        <w:tc>
          <w:tcPr>
            <w:tcW w:w="567" w:type="pct"/>
            <w:noWrap/>
            <w:vAlign w:val="center"/>
            <w:hideMark/>
          </w:tcPr>
          <w:p w14:paraId="14B79AE1"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62BD766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513" w:type="pct"/>
            <w:vAlign w:val="center"/>
            <w:hideMark/>
          </w:tcPr>
          <w:p w14:paraId="1973AD34"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9</w:t>
            </w:r>
          </w:p>
        </w:tc>
        <w:tc>
          <w:tcPr>
            <w:tcW w:w="1287" w:type="pct"/>
            <w:tcBorders>
              <w:right w:val="single" w:sz="2" w:space="0" w:color="000000" w:themeColor="text1"/>
            </w:tcBorders>
            <w:vAlign w:val="center"/>
          </w:tcPr>
          <w:p w14:paraId="05C85353"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4.3</w:t>
            </w:r>
          </w:p>
        </w:tc>
      </w:tr>
      <w:tr w:rsidR="005A786E" w:rsidRPr="00965BAA" w14:paraId="6F833A41" w14:textId="77777777" w:rsidTr="005A55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tcBorders>
            <w:vAlign w:val="center"/>
            <w:hideMark/>
          </w:tcPr>
          <w:p w14:paraId="0AE93596"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Health Council</w:t>
            </w:r>
          </w:p>
        </w:tc>
        <w:tc>
          <w:tcPr>
            <w:tcW w:w="989" w:type="pct"/>
            <w:vAlign w:val="center"/>
            <w:hideMark/>
          </w:tcPr>
          <w:p w14:paraId="2FB97590" w14:textId="77777777" w:rsidR="005A786E" w:rsidRPr="00965BAA" w:rsidRDefault="005A786E" w:rsidP="005A5556">
            <w:pPr>
              <w:spacing w:before="40" w:after="4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WHO</w:t>
            </w:r>
          </w:p>
        </w:tc>
        <w:tc>
          <w:tcPr>
            <w:tcW w:w="567" w:type="pct"/>
            <w:noWrap/>
            <w:vAlign w:val="center"/>
            <w:hideMark/>
          </w:tcPr>
          <w:p w14:paraId="78DFE662"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noWrap/>
            <w:vAlign w:val="center"/>
            <w:hideMark/>
          </w:tcPr>
          <w:p w14:paraId="40962BF9"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513" w:type="pct"/>
            <w:vAlign w:val="center"/>
            <w:hideMark/>
          </w:tcPr>
          <w:p w14:paraId="5C21B85C"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1287" w:type="pct"/>
            <w:tcBorders>
              <w:right w:val="single" w:sz="2" w:space="0" w:color="000000" w:themeColor="text1"/>
            </w:tcBorders>
            <w:vAlign w:val="center"/>
          </w:tcPr>
          <w:p w14:paraId="14AA9783" w14:textId="77777777" w:rsidR="005A786E" w:rsidRPr="00965BAA" w:rsidRDefault="005A786E" w:rsidP="005A5556">
            <w:pPr>
              <w:spacing w:before="40" w:after="4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2.1</w:t>
            </w:r>
          </w:p>
        </w:tc>
      </w:tr>
      <w:tr w:rsidR="005A786E" w:rsidRPr="00965BAA" w14:paraId="2E28C128" w14:textId="77777777" w:rsidTr="005A5556">
        <w:trPr>
          <w:trHeight w:val="20"/>
          <w:jc w:val="center"/>
        </w:trPr>
        <w:tc>
          <w:tcPr>
            <w:cnfStyle w:val="001000000000" w:firstRow="0" w:lastRow="0" w:firstColumn="1" w:lastColumn="0" w:oddVBand="0" w:evenVBand="0" w:oddHBand="0" w:evenHBand="0" w:firstRowFirstColumn="0" w:firstRowLastColumn="0" w:lastRowFirstColumn="0" w:lastRowLastColumn="0"/>
            <w:tcW w:w="1008" w:type="pct"/>
            <w:tcBorders>
              <w:left w:val="single" w:sz="2" w:space="0" w:color="000000" w:themeColor="text1"/>
              <w:bottom w:val="single" w:sz="2" w:space="0" w:color="000000" w:themeColor="text1"/>
            </w:tcBorders>
            <w:vAlign w:val="center"/>
            <w:hideMark/>
          </w:tcPr>
          <w:p w14:paraId="185EBC43" w14:textId="77777777" w:rsidR="005A786E" w:rsidRPr="00965BAA" w:rsidRDefault="005A786E" w:rsidP="005A5556">
            <w:pPr>
              <w:spacing w:before="40" w:after="40"/>
              <w:rPr>
                <w:rFonts w:ascii="Roboto" w:hAnsi="Roboto" w:cs="Calibri"/>
                <w:color w:val="404040" w:themeColor="text1" w:themeTint="BF"/>
                <w:sz w:val="15"/>
                <w:szCs w:val="15"/>
                <w:lang w:val="en-GB"/>
              </w:rPr>
            </w:pPr>
            <w:r w:rsidRPr="00965BAA">
              <w:rPr>
                <w:rFonts w:ascii="Roboto" w:hAnsi="Roboto" w:cs="Calibri"/>
                <w:color w:val="404040" w:themeColor="text1" w:themeTint="BF"/>
                <w:sz w:val="15"/>
                <w:szCs w:val="15"/>
                <w:lang w:val="en-GB"/>
              </w:rPr>
              <w:t>Saudi Green Initiative</w:t>
            </w:r>
          </w:p>
        </w:tc>
        <w:tc>
          <w:tcPr>
            <w:tcW w:w="989" w:type="pct"/>
            <w:tcBorders>
              <w:bottom w:val="single" w:sz="2" w:space="0" w:color="000000" w:themeColor="text1"/>
            </w:tcBorders>
            <w:vAlign w:val="center"/>
            <w:hideMark/>
          </w:tcPr>
          <w:p w14:paraId="05691881" w14:textId="77777777" w:rsidR="005A786E" w:rsidRPr="00965BAA" w:rsidRDefault="005A786E" w:rsidP="005A5556">
            <w:pPr>
              <w:spacing w:before="40" w:after="4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UNIDO</w:t>
            </w:r>
          </w:p>
        </w:tc>
        <w:tc>
          <w:tcPr>
            <w:tcW w:w="567" w:type="pct"/>
            <w:tcBorders>
              <w:bottom w:val="single" w:sz="2" w:space="0" w:color="000000" w:themeColor="text1"/>
            </w:tcBorders>
            <w:noWrap/>
            <w:vAlign w:val="center"/>
            <w:hideMark/>
          </w:tcPr>
          <w:p w14:paraId="2BDDCF40"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1</w:t>
            </w:r>
          </w:p>
        </w:tc>
        <w:tc>
          <w:tcPr>
            <w:tcW w:w="636" w:type="pct"/>
            <w:tcBorders>
              <w:bottom w:val="single" w:sz="2" w:space="0" w:color="000000" w:themeColor="text1"/>
            </w:tcBorders>
            <w:noWrap/>
            <w:vAlign w:val="center"/>
            <w:hideMark/>
          </w:tcPr>
          <w:p w14:paraId="7764A18A"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$5,000,000</w:t>
            </w:r>
          </w:p>
        </w:tc>
        <w:tc>
          <w:tcPr>
            <w:tcW w:w="513" w:type="pct"/>
            <w:tcBorders>
              <w:bottom w:val="single" w:sz="2" w:space="0" w:color="000000" w:themeColor="text1"/>
            </w:tcBorders>
            <w:vAlign w:val="center"/>
            <w:hideMark/>
          </w:tcPr>
          <w:p w14:paraId="6A961C6C"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w:t>
            </w:r>
          </w:p>
        </w:tc>
        <w:tc>
          <w:tcPr>
            <w:tcW w:w="1287" w:type="pct"/>
            <w:tcBorders>
              <w:bottom w:val="single" w:sz="2" w:space="0" w:color="000000" w:themeColor="text1"/>
              <w:right w:val="single" w:sz="2" w:space="0" w:color="000000" w:themeColor="text1"/>
            </w:tcBorders>
            <w:vAlign w:val="center"/>
          </w:tcPr>
          <w:p w14:paraId="1BCD4DA7" w14:textId="77777777" w:rsidR="005A786E" w:rsidRPr="00965BAA" w:rsidRDefault="005A786E" w:rsidP="005A5556">
            <w:pPr>
              <w:spacing w:before="40" w:after="4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5"/>
                <w:szCs w:val="15"/>
                <w:lang w:val="en-GB"/>
              </w:rPr>
            </w:pPr>
            <w:r w:rsidRPr="00965BAA">
              <w:rPr>
                <w:rFonts w:ascii="Roboto" w:hAnsi="Roboto" w:cs="Calibri"/>
                <w:b/>
                <w:color w:val="404040" w:themeColor="text1" w:themeTint="BF"/>
                <w:sz w:val="15"/>
                <w:szCs w:val="15"/>
                <w:lang w:val="en-GB"/>
              </w:rPr>
              <w:t>2.4</w:t>
            </w:r>
          </w:p>
        </w:tc>
      </w:tr>
    </w:tbl>
    <w:p w14:paraId="6C86EBED" w14:textId="77777777" w:rsidR="005A786E" w:rsidRPr="00965BAA" w:rsidRDefault="005A786E" w:rsidP="005A786E">
      <w:pPr>
        <w:rPr>
          <w:rFonts w:ascii="Roboto" w:hAnsi="Roboto"/>
          <w:color w:val="404040" w:themeColor="text1" w:themeTint="BF"/>
          <w:sz w:val="18"/>
          <w:szCs w:val="18"/>
          <w:lang w:val="en-GB"/>
        </w:rPr>
      </w:pPr>
      <w:r w:rsidRPr="00965BAA">
        <w:rPr>
          <w:rFonts w:ascii="Roboto" w:hAnsi="Roboto" w:cs="Calibri"/>
          <w:color w:val="404040" w:themeColor="text1" w:themeTint="BF"/>
          <w:sz w:val="18"/>
          <w:szCs w:val="18"/>
          <w:lang w:val="en-GB"/>
        </w:rPr>
        <w:t>* This implies that an estimated cost was not provided by an AFP (in the case of WHO and UNWTO, no financial estimates were provided). </w:t>
      </w:r>
    </w:p>
    <w:p w14:paraId="0F15DF7B" w14:textId="77777777" w:rsidR="005A786E" w:rsidRPr="00965BAA" w:rsidRDefault="005A786E" w:rsidP="005A786E">
      <w:pPr>
        <w:rPr>
          <w:rFonts w:ascii="Roboto" w:hAnsi="Roboto"/>
          <w:color w:val="404040" w:themeColor="text1" w:themeTint="BF"/>
          <w:sz w:val="18"/>
          <w:szCs w:val="18"/>
          <w:lang w:val="en-GB"/>
        </w:rPr>
      </w:pPr>
      <w:r w:rsidRPr="00965BAA">
        <w:rPr>
          <w:rFonts w:ascii="Roboto" w:hAnsi="Roboto" w:cs="Calibri"/>
          <w:color w:val="404040" w:themeColor="text1" w:themeTint="BF"/>
          <w:sz w:val="18"/>
          <w:szCs w:val="18"/>
          <w:lang w:val="en-GB"/>
        </w:rPr>
        <w:t xml:space="preserve">** This implies there were no SDG linkages provided by the AFP. Note: The sum of the Number of Activities and Total Estimated Cost is greater than Totals because some activities have more than one partner. </w:t>
      </w:r>
    </w:p>
    <w:p w14:paraId="552B393D" w14:textId="77777777" w:rsidR="005A786E" w:rsidRPr="00965BAA" w:rsidRDefault="005A786E" w:rsidP="005A786E">
      <w:pPr>
        <w:rPr>
          <w:rFonts w:ascii="Roboto" w:hAnsi="Roboto" w:cs="Calibri"/>
          <w:b/>
          <w:bCs/>
          <w:color w:val="404040" w:themeColor="text1" w:themeTint="BF"/>
          <w:sz w:val="22"/>
          <w:szCs w:val="22"/>
          <w:lang w:val="en-GB"/>
        </w:rPr>
      </w:pPr>
    </w:p>
    <w:p w14:paraId="763FC4E7" w14:textId="77777777" w:rsidR="005A786E" w:rsidRPr="00965BAA" w:rsidRDefault="005A786E" w:rsidP="005A786E">
      <w:pPr>
        <w:jc w:val="both"/>
        <w:rPr>
          <w:rFonts w:ascii="Roboto" w:hAnsi="Roboto" w:cs="Calibri"/>
          <w:color w:val="404040" w:themeColor="text1" w:themeTint="BF"/>
          <w:sz w:val="21"/>
          <w:szCs w:val="21"/>
          <w:lang w:val="en-GB"/>
        </w:rPr>
      </w:pPr>
    </w:p>
    <w:p w14:paraId="0771D9C4" w14:textId="77777777" w:rsidR="005A786E" w:rsidRPr="00EF3F4F" w:rsidRDefault="005A786E" w:rsidP="005A786E">
      <w:pPr>
        <w:jc w:val="both"/>
        <w:rPr>
          <w:rFonts w:ascii="Roboto" w:hAnsi="Roboto"/>
          <w:color w:val="404040" w:themeColor="text1" w:themeTint="BF"/>
          <w:sz w:val="21"/>
          <w:szCs w:val="21"/>
          <w:lang w:val="en-GB"/>
        </w:rPr>
      </w:pPr>
      <w:r w:rsidRPr="00EF3F4F">
        <w:rPr>
          <w:rFonts w:ascii="Roboto" w:hAnsi="Roboto"/>
          <w:color w:val="404040" w:themeColor="text1" w:themeTint="BF"/>
          <w:sz w:val="21"/>
          <w:szCs w:val="21"/>
          <w:lang w:val="en-GB"/>
        </w:rPr>
        <w:t xml:space="preserve">The above table indicates that the largest cost estimate for UN activities in the KSA during the 2022 to 2026 period is connected with those partnered with the Ministry of Environment, Water, and Agriculture: its 18 associated activities are estimated to require a $100,700,000 financial commitment (29% of the total UN activity cost for the designated period). In terms of the number of activities, the Ministry of Human Resources and Social Development is the most frequent main governmental partner of the KSA over the 2022 to 2026 period. Its 57 activities (27% of all UN activities) are connected to eight AFPs and are estimated to cost $51,163,200. </w:t>
      </w:r>
    </w:p>
    <w:p w14:paraId="35BBF3D1" w14:textId="77777777" w:rsidR="005A786E" w:rsidRPr="00EF3F4F" w:rsidRDefault="005A786E" w:rsidP="005A786E">
      <w:pPr>
        <w:rPr>
          <w:rFonts w:ascii="Roboto" w:hAnsi="Roboto" w:cs="Calibri"/>
          <w:color w:val="404040" w:themeColor="text1" w:themeTint="BF"/>
          <w:sz w:val="21"/>
          <w:szCs w:val="21"/>
          <w:lang w:val="en-GB"/>
        </w:rPr>
      </w:pPr>
    </w:p>
    <w:p w14:paraId="2C1FD282" w14:textId="26860D37" w:rsidR="009719F8" w:rsidRPr="003C206F" w:rsidRDefault="005A786E" w:rsidP="005A786E">
      <w:pPr>
        <w:pStyle w:val="NormalWeb"/>
        <w:spacing w:before="0" w:beforeAutospacing="0" w:after="0" w:afterAutospacing="0"/>
        <w:jc w:val="both"/>
        <w:rPr>
          <w:rFonts w:ascii="Roboto" w:hAnsi="Roboto"/>
          <w:b/>
          <w:bCs/>
          <w:color w:val="404040" w:themeColor="text1" w:themeTint="BF"/>
          <w:lang w:val="en-GB"/>
        </w:rPr>
      </w:pPr>
      <w:bookmarkStart w:id="157" w:name="_Hlk92207050"/>
      <w:r w:rsidRPr="00EF3F4F">
        <w:rPr>
          <w:rFonts w:ascii="Roboto" w:hAnsi="Roboto" w:cs="Calibri"/>
          <w:color w:val="404040" w:themeColor="text1" w:themeTint="BF"/>
          <w:sz w:val="21"/>
          <w:szCs w:val="21"/>
          <w:lang w:val="en-GB"/>
        </w:rPr>
        <w:t xml:space="preserve">Figure </w:t>
      </w:r>
      <w:r>
        <w:rPr>
          <w:rFonts w:ascii="Roboto" w:hAnsi="Roboto" w:cs="Calibri"/>
          <w:color w:val="404040" w:themeColor="text1" w:themeTint="BF"/>
          <w:sz w:val="21"/>
          <w:szCs w:val="21"/>
          <w:lang w:val="en-GB"/>
        </w:rPr>
        <w:t>3</w:t>
      </w:r>
      <w:r w:rsidRPr="00EF3F4F">
        <w:rPr>
          <w:rFonts w:ascii="Roboto" w:hAnsi="Roboto" w:cs="Calibri"/>
          <w:color w:val="404040" w:themeColor="text1" w:themeTint="BF"/>
          <w:sz w:val="21"/>
          <w:szCs w:val="21"/>
          <w:lang w:val="en-GB"/>
        </w:rPr>
        <w:t>.1 visualize</w:t>
      </w:r>
      <w:r>
        <w:rPr>
          <w:rFonts w:ascii="Roboto" w:hAnsi="Roboto" w:cs="Calibri"/>
          <w:color w:val="404040" w:themeColor="text1" w:themeTint="BF"/>
          <w:sz w:val="21"/>
          <w:szCs w:val="21"/>
          <w:lang w:val="en-GB"/>
        </w:rPr>
        <w:t>s</w:t>
      </w:r>
      <w:r w:rsidRPr="00EF3F4F">
        <w:rPr>
          <w:rFonts w:ascii="Roboto" w:hAnsi="Roboto" w:cs="Calibri"/>
          <w:color w:val="404040" w:themeColor="text1" w:themeTint="BF"/>
          <w:sz w:val="21"/>
          <w:szCs w:val="21"/>
          <w:lang w:val="en-GB"/>
        </w:rPr>
        <w:t xml:space="preserve"> the funding status of all UN activities by total financial commitment secured and the number of activities with secured funding</w:t>
      </w:r>
      <w:bookmarkEnd w:id="157"/>
      <w:r>
        <w:rPr>
          <w:rFonts w:ascii="Roboto" w:hAnsi="Roboto" w:cs="Calibri"/>
          <w:color w:val="404040" w:themeColor="text1" w:themeTint="BF"/>
          <w:sz w:val="21"/>
          <w:szCs w:val="21"/>
          <w:lang w:val="en-GB"/>
        </w:rPr>
        <w:t>.</w:t>
      </w:r>
      <w:r w:rsidR="009719F8" w:rsidRPr="003C206F">
        <w:rPr>
          <w:rFonts w:ascii="Roboto" w:hAnsi="Roboto" w:cs="Calibri"/>
          <w:b/>
          <w:bCs/>
          <w:color w:val="404040" w:themeColor="text1" w:themeTint="BF"/>
          <w:sz w:val="28"/>
          <w:szCs w:val="28"/>
          <w:lang w:val="en-GB"/>
        </w:rPr>
        <w:br w:type="page"/>
      </w:r>
    </w:p>
    <w:p w14:paraId="727347C9" w14:textId="53D8A450" w:rsidR="001A7FFD" w:rsidRPr="006812AD" w:rsidRDefault="001A7FFD" w:rsidP="001A7FFD">
      <w:pPr>
        <w:pStyle w:val="Heading1"/>
        <w:spacing w:before="0"/>
        <w:rPr>
          <w:rFonts w:ascii="Roboto" w:hAnsi="Roboto" w:cs="Calibri"/>
          <w:b/>
          <w:bCs/>
          <w:color w:val="4472C4" w:themeColor="accent1"/>
          <w:sz w:val="28"/>
          <w:szCs w:val="28"/>
          <w:lang w:val="en-GB"/>
        </w:rPr>
      </w:pPr>
      <w:bookmarkStart w:id="158" w:name="_Toc92277981"/>
      <w:bookmarkStart w:id="159" w:name="_Toc105333795"/>
      <w:r w:rsidRPr="006812AD">
        <w:rPr>
          <w:rFonts w:ascii="Roboto" w:hAnsi="Roboto" w:cs="Calibri"/>
          <w:b/>
          <w:bCs/>
          <w:color w:val="4472C4" w:themeColor="accent1"/>
          <w:sz w:val="28"/>
          <w:szCs w:val="28"/>
          <w:lang w:val="en-GB"/>
        </w:rPr>
        <w:lastRenderedPageBreak/>
        <w:t>Annex C. The KSA’s Vision 2030 Framing of the Strategic Priority Areas</w:t>
      </w:r>
      <w:bookmarkEnd w:id="158"/>
      <w:bookmarkEnd w:id="159"/>
    </w:p>
    <w:p w14:paraId="4B95D7A4" w14:textId="77777777" w:rsidR="001A7FFD" w:rsidRPr="003C206F" w:rsidRDefault="001A7FFD" w:rsidP="001A7FFD">
      <w:pPr>
        <w:rPr>
          <w:rFonts w:ascii="Roboto" w:hAnsi="Roboto"/>
          <w:b/>
          <w:bCs/>
          <w:color w:val="404040" w:themeColor="text1" w:themeTint="BF"/>
          <w:lang w:val="en-GB"/>
        </w:rPr>
      </w:pPr>
    </w:p>
    <w:p w14:paraId="4E7E7E87" w14:textId="3BAE3231" w:rsidR="001A7FFD" w:rsidRPr="003C206F" w:rsidRDefault="001A7FFD" w:rsidP="001A7FFD">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While the UNSDCF conceptualizes its </w:t>
      </w:r>
      <w:r>
        <w:rPr>
          <w:rFonts w:ascii="Roboto" w:hAnsi="Roboto" w:cs="Calibri"/>
          <w:color w:val="404040" w:themeColor="text1" w:themeTint="BF"/>
          <w:sz w:val="21"/>
          <w:szCs w:val="21"/>
          <w:lang w:val="en-GB"/>
        </w:rPr>
        <w:t xml:space="preserve">four </w:t>
      </w:r>
      <w:r w:rsidRPr="003C206F">
        <w:rPr>
          <w:rFonts w:ascii="Roboto" w:hAnsi="Roboto" w:cs="Calibri"/>
          <w:color w:val="404040" w:themeColor="text1" w:themeTint="BF"/>
          <w:sz w:val="21"/>
          <w:szCs w:val="21"/>
          <w:lang w:val="en-GB"/>
        </w:rPr>
        <w:t xml:space="preserve">Strategic Priority Areas with reference to the UN framework of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‘5Ps’, and SDGs, it remains critical to identify linkages and cross-linkages with the KSA’s national strategic planning document, Vision 2030. </w:t>
      </w:r>
    </w:p>
    <w:p w14:paraId="65C8D39D"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646B0E51" w14:textId="77777777" w:rsidR="001A7FFD" w:rsidRPr="003C206F" w:rsidRDefault="001A7FFD" w:rsidP="001A7FFD">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In a high-income country like the KSA, the Government is both a partner to the UN and donor to its activities, ultimately choosing and financing UN activities within the country. In the case of well-developed national plans and strategies like the KSA’s Vision 2030, an initial prioritization exercise with the UNCT was undertaken in the form of mapping the 23 challenges and opportunities against the country’s national plans in order to define the UNSDCF’s Strategic Priority Areas. Following this initial prioritization process informed by the KSA’s Vision 2030, the language of the UNSDCF has been amended to reflect the nationally vetted and supported strategic plans. </w:t>
      </w:r>
    </w:p>
    <w:p w14:paraId="7A1122EC"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7E75AE58" w14:textId="50BC6B29" w:rsidR="001A7FFD" w:rsidRPr="003C206F" w:rsidRDefault="001A7FFD" w:rsidP="001A7FFD">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In order to better conceptualize the relationship between the Strategic Priority Areas as articulated in terms of the UN’s framework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‘5Ps’, and SDGs) and their overlap with the KSA’s Vision 2030, a structural understanding of the latter is necessary.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 xml:space="preserve">Vision 2030 comprises three fundamental Pillars: (1) Enhancing Values and Enabling a Fulfilling and Healthy Life, (2) Growing and Diversifying the Economy and Increasing Employment, and (3) Enhancing Government Effectiveness and Enabling Social Responsibility. Flowing from these three Pillars is a series of cascading objectives: six Level 1 </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overarching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27 Level 2 </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branch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and 96 Level 3 </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strategic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w:t>
      </w:r>
    </w:p>
    <w:p w14:paraId="03AE547E"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51EC1640" w14:textId="503A5460" w:rsidR="001A7FFD" w:rsidRPr="003C206F" w:rsidRDefault="001A7FFD" w:rsidP="001A7FFD">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Below, Table B.1 presents how the UNSDCF’s Strategic Priority Areas can be understood in terms of both the UN framework and </w:t>
      </w:r>
      <w:r w:rsidR="00E719CA">
        <w:rPr>
          <w:rFonts w:ascii="Roboto" w:hAnsi="Roboto" w:cs="Calibri"/>
          <w:color w:val="404040" w:themeColor="text1" w:themeTint="BF"/>
          <w:sz w:val="21"/>
          <w:szCs w:val="21"/>
          <w:lang w:val="en-GB"/>
        </w:rPr>
        <w:t xml:space="preserve">KSA’s </w:t>
      </w:r>
      <w:r w:rsidRPr="003C206F">
        <w:rPr>
          <w:rFonts w:ascii="Roboto" w:hAnsi="Roboto" w:cs="Calibri"/>
          <w:color w:val="404040" w:themeColor="text1" w:themeTint="BF"/>
          <w:sz w:val="21"/>
          <w:szCs w:val="21"/>
          <w:lang w:val="en-GB"/>
        </w:rPr>
        <w:t xml:space="preserve">Vision 2030. As can be seen, the majority of the challenges and opportunities can be linked directly with the KSA’s Vision 2030 </w:t>
      </w:r>
      <w:r>
        <w:rPr>
          <w:rFonts w:ascii="Roboto" w:hAnsi="Roboto" w:cs="Calibri"/>
          <w:color w:val="404040" w:themeColor="text1" w:themeTint="BF"/>
          <w:sz w:val="21"/>
          <w:szCs w:val="21"/>
          <w:lang w:val="en-GB"/>
        </w:rPr>
        <w:t xml:space="preserve">Level 1 ‘overarching </w:t>
      </w:r>
      <w:r w:rsidRPr="003C206F">
        <w:rPr>
          <w:rFonts w:ascii="Roboto" w:hAnsi="Roboto" w:cs="Calibri"/>
          <w:color w:val="404040" w:themeColor="text1" w:themeTint="BF"/>
          <w:sz w:val="21"/>
          <w:szCs w:val="21"/>
          <w:lang w:val="en-GB"/>
        </w:rPr>
        <w:t>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Cross-cutting issues such as partnerships are not only featured in terms of one Strategic Priority Area but are also, in fact, part and parcel of most other Strategic Priority Areas. </w:t>
      </w:r>
    </w:p>
    <w:p w14:paraId="691E8318"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5298147F" w14:textId="41815F6A"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As presented in the right-hand column of the table, in terms of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 xml:space="preserve">Vision 2030, the UNSDCF’s first three Strategic Priority Areas can be understood in terms of the plan’s three Pillars and their six corresponding Level 1 </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overarching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The fourth Strategic Priority Area departs from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 xml:space="preserve">Vision 2030’s framework and integrates the UN’s normative agenda, mainstreamed with reference to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 xml:space="preserve">Vision 2030 documents, though without the self-standing strategic objectives of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 xml:space="preserve">Vision 2030’s cascading framework (even though these issues are present in the </w:t>
      </w:r>
      <w:r w:rsidR="00E719CA">
        <w:rPr>
          <w:rFonts w:ascii="Roboto" w:hAnsi="Roboto" w:cs="Calibri"/>
          <w:color w:val="404040" w:themeColor="text1" w:themeTint="BF"/>
          <w:sz w:val="21"/>
          <w:szCs w:val="21"/>
          <w:lang w:val="en-GB"/>
        </w:rPr>
        <w:t xml:space="preserve">KSA’s </w:t>
      </w:r>
      <w:r w:rsidRPr="003C206F">
        <w:rPr>
          <w:rFonts w:ascii="Roboto" w:hAnsi="Roboto" w:cs="Calibri"/>
          <w:color w:val="404040" w:themeColor="text1" w:themeTint="BF"/>
          <w:sz w:val="21"/>
          <w:szCs w:val="21"/>
          <w:lang w:val="en-GB"/>
        </w:rPr>
        <w:t xml:space="preserve">Vision 2030 narrative). This fourth Strategic Priority Area both stands alone and cuts across </w:t>
      </w:r>
      <w:r>
        <w:rPr>
          <w:rFonts w:ascii="Roboto" w:hAnsi="Roboto" w:cs="Calibri"/>
          <w:color w:val="404040" w:themeColor="text1" w:themeTint="BF"/>
          <w:sz w:val="21"/>
          <w:szCs w:val="21"/>
          <w:lang w:val="en-GB"/>
        </w:rPr>
        <w:t>the three</w:t>
      </w:r>
      <w:r w:rsidRPr="003C206F">
        <w:rPr>
          <w:rFonts w:ascii="Roboto" w:hAnsi="Roboto" w:cs="Calibri"/>
          <w:color w:val="404040" w:themeColor="text1" w:themeTint="BF"/>
          <w:sz w:val="21"/>
          <w:szCs w:val="21"/>
          <w:lang w:val="en-GB"/>
        </w:rPr>
        <w:t xml:space="preserve"> other Strategic Priority Areas. </w:t>
      </w:r>
    </w:p>
    <w:p w14:paraId="2F5731BE" w14:textId="77777777" w:rsidR="001A7FFD" w:rsidRPr="003C206F" w:rsidRDefault="001A7FFD" w:rsidP="001A7FFD">
      <w:pPr>
        <w:rPr>
          <w:rFonts w:ascii="Roboto" w:hAnsi="Roboto" w:cs="Calibri"/>
          <w:b/>
          <w:bCs/>
          <w:color w:val="404040" w:themeColor="text1" w:themeTint="BF"/>
          <w:sz w:val="22"/>
          <w:szCs w:val="22"/>
          <w:lang w:val="en-GB"/>
        </w:rPr>
      </w:pPr>
    </w:p>
    <w:p w14:paraId="3F1C0530" w14:textId="77777777" w:rsidR="001A7FFD" w:rsidRPr="003C206F" w:rsidRDefault="001A7FFD" w:rsidP="001A7FFD">
      <w:pPr>
        <w:rPr>
          <w:rFonts w:ascii="Roboto" w:hAnsi="Roboto" w:cs="Calibri"/>
          <w:b/>
          <w:bCs/>
          <w:color w:val="404040" w:themeColor="text1" w:themeTint="BF"/>
          <w:sz w:val="21"/>
          <w:szCs w:val="21"/>
          <w:lang w:val="en-GB"/>
        </w:rPr>
      </w:pPr>
      <w:r w:rsidRPr="003C206F">
        <w:rPr>
          <w:rFonts w:ascii="Roboto" w:hAnsi="Roboto" w:cs="Calibri"/>
          <w:b/>
          <w:bCs/>
          <w:color w:val="404040" w:themeColor="text1" w:themeTint="BF"/>
          <w:sz w:val="21"/>
          <w:szCs w:val="21"/>
          <w:lang w:val="en-GB"/>
        </w:rPr>
        <w:br w:type="page"/>
      </w:r>
    </w:p>
    <w:p w14:paraId="30FFE100" w14:textId="77777777" w:rsidR="001A7FFD" w:rsidRPr="003C206F" w:rsidRDefault="001A7FFD" w:rsidP="001A7FFD">
      <w:pPr>
        <w:pStyle w:val="NormalWeb"/>
        <w:spacing w:before="0" w:beforeAutospacing="0" w:after="0" w:afterAutospacing="0"/>
        <w:jc w:val="both"/>
        <w:rPr>
          <w:rFonts w:ascii="Roboto" w:hAnsi="Roboto"/>
          <w:b/>
          <w:bCs/>
          <w:color w:val="404040" w:themeColor="text1" w:themeTint="BF"/>
          <w:sz w:val="21"/>
          <w:szCs w:val="21"/>
          <w:lang w:val="en-GB"/>
        </w:rPr>
      </w:pPr>
      <w:r w:rsidRPr="003C206F">
        <w:rPr>
          <w:rFonts w:ascii="Roboto" w:hAnsi="Roboto" w:cs="Calibri"/>
          <w:b/>
          <w:bCs/>
          <w:color w:val="404040" w:themeColor="text1" w:themeTint="BF"/>
          <w:sz w:val="21"/>
          <w:szCs w:val="21"/>
          <w:lang w:val="en-GB"/>
        </w:rPr>
        <w:lastRenderedPageBreak/>
        <w:t xml:space="preserve">Table </w:t>
      </w:r>
      <w:r>
        <w:rPr>
          <w:rFonts w:ascii="Roboto" w:hAnsi="Roboto" w:cs="Calibri"/>
          <w:b/>
          <w:bCs/>
          <w:color w:val="404040" w:themeColor="text1" w:themeTint="BF"/>
          <w:sz w:val="21"/>
          <w:szCs w:val="21"/>
          <w:lang w:val="en-GB"/>
        </w:rPr>
        <w:t>C</w:t>
      </w:r>
      <w:r w:rsidRPr="003C206F">
        <w:rPr>
          <w:rFonts w:ascii="Roboto" w:hAnsi="Roboto" w:cs="Calibri"/>
          <w:b/>
          <w:bCs/>
          <w:color w:val="404040" w:themeColor="text1" w:themeTint="BF"/>
          <w:sz w:val="21"/>
          <w:szCs w:val="21"/>
          <w:lang w:val="en-GB"/>
        </w:rPr>
        <w:t>.1</w:t>
      </w:r>
    </w:p>
    <w:p w14:paraId="63677951" w14:textId="77777777" w:rsidR="001A7FFD" w:rsidRPr="003C206F" w:rsidRDefault="001A7FFD" w:rsidP="001A7FFD">
      <w:pPr>
        <w:pStyle w:val="NormalWeb"/>
        <w:spacing w:before="0" w:beforeAutospacing="0" w:after="0" w:afterAutospacing="0"/>
        <w:jc w:val="both"/>
        <w:rPr>
          <w:rFonts w:ascii="Roboto" w:hAnsi="Roboto"/>
          <w:b/>
          <w:bCs/>
          <w:color w:val="404040" w:themeColor="text1" w:themeTint="BF"/>
          <w:sz w:val="21"/>
          <w:szCs w:val="21"/>
          <w:lang w:val="en-GB"/>
        </w:rPr>
      </w:pPr>
      <w:r w:rsidRPr="003C206F">
        <w:rPr>
          <w:rFonts w:ascii="Roboto" w:hAnsi="Roboto" w:cs="Calibri"/>
          <w:b/>
          <w:bCs/>
          <w:color w:val="404040" w:themeColor="text1" w:themeTint="BF"/>
          <w:sz w:val="21"/>
          <w:szCs w:val="21"/>
          <w:lang w:val="en-GB"/>
        </w:rPr>
        <w:t> </w:t>
      </w:r>
    </w:p>
    <w:tbl>
      <w:tblPr>
        <w:tblW w:w="0" w:type="auto"/>
        <w:tblCellMar>
          <w:top w:w="15" w:type="dxa"/>
          <w:left w:w="15" w:type="dxa"/>
          <w:bottom w:w="15" w:type="dxa"/>
          <w:right w:w="15" w:type="dxa"/>
        </w:tblCellMar>
        <w:tblLook w:val="04A0" w:firstRow="1" w:lastRow="0" w:firstColumn="1" w:lastColumn="0" w:noHBand="0" w:noVBand="1"/>
      </w:tblPr>
      <w:tblGrid>
        <w:gridCol w:w="1275"/>
        <w:gridCol w:w="3804"/>
        <w:gridCol w:w="3940"/>
      </w:tblGrid>
      <w:tr w:rsidR="001A7FFD" w:rsidRPr="003C206F" w14:paraId="306B7DD8" w14:textId="77777777" w:rsidTr="005A555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A5FABC" w14:textId="77777777" w:rsidR="001A7FFD" w:rsidRPr="003C206F" w:rsidRDefault="001A7FFD" w:rsidP="005A5556">
            <w:pPr>
              <w:pStyle w:val="NormalWeb"/>
              <w:spacing w:before="0" w:beforeAutospacing="0" w:after="0" w:afterAutospacing="0"/>
              <w:jc w:val="center"/>
              <w:rPr>
                <w:rFonts w:ascii="Roboto" w:hAnsi="Roboto"/>
                <w:b/>
                <w:bCs/>
                <w:color w:val="404040" w:themeColor="text1" w:themeTint="BF"/>
                <w:sz w:val="21"/>
                <w:szCs w:val="21"/>
                <w:lang w:val="en-GB"/>
              </w:rPr>
            </w:pPr>
            <w:r w:rsidRPr="003C206F">
              <w:rPr>
                <w:rFonts w:ascii="Roboto" w:hAnsi="Roboto" w:cs="Calibri"/>
                <w:b/>
                <w:bCs/>
                <w:color w:val="404040" w:themeColor="text1" w:themeTint="BF"/>
                <w:sz w:val="21"/>
                <w:szCs w:val="21"/>
                <w:lang w:val="en-GB"/>
              </w:rPr>
              <w:t>Strategic Priority Areas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90BDC2" w14:textId="77777777" w:rsidR="001A7FFD" w:rsidRPr="003C206F" w:rsidRDefault="001A7FFD" w:rsidP="005A5556">
            <w:pPr>
              <w:pStyle w:val="NormalWeb"/>
              <w:spacing w:before="0" w:beforeAutospacing="0" w:after="0" w:afterAutospacing="0"/>
              <w:jc w:val="center"/>
              <w:rPr>
                <w:rFonts w:ascii="Roboto" w:hAnsi="Roboto"/>
                <w:b/>
                <w:bCs/>
                <w:color w:val="404040" w:themeColor="text1" w:themeTint="BF"/>
                <w:sz w:val="21"/>
                <w:szCs w:val="21"/>
                <w:lang w:val="en-GB"/>
              </w:rPr>
            </w:pPr>
            <w:r w:rsidRPr="003C206F">
              <w:rPr>
                <w:rFonts w:ascii="Roboto" w:hAnsi="Roboto" w:cs="Calibri"/>
                <w:b/>
                <w:bCs/>
                <w:color w:val="404040" w:themeColor="text1" w:themeTint="BF"/>
                <w:sz w:val="21"/>
                <w:szCs w:val="21"/>
                <w:lang w:val="en-GB"/>
              </w:rPr>
              <w:t>In terms of the UN’s ‘5Ps’ / SDGs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CCB5EA" w14:textId="77777777" w:rsidR="001A7FFD" w:rsidRPr="003C206F" w:rsidRDefault="001A7FFD" w:rsidP="005A5556">
            <w:pPr>
              <w:pStyle w:val="NormalWeb"/>
              <w:spacing w:before="0" w:beforeAutospacing="0" w:after="0" w:afterAutospacing="0"/>
              <w:jc w:val="center"/>
              <w:rPr>
                <w:rFonts w:ascii="Roboto" w:hAnsi="Roboto"/>
                <w:b/>
                <w:bCs/>
                <w:color w:val="404040" w:themeColor="text1" w:themeTint="BF"/>
                <w:sz w:val="21"/>
                <w:szCs w:val="21"/>
                <w:lang w:val="en-GB"/>
              </w:rPr>
            </w:pPr>
            <w:r w:rsidRPr="003C206F">
              <w:rPr>
                <w:rFonts w:ascii="Roboto" w:hAnsi="Roboto" w:cs="Calibri"/>
                <w:b/>
                <w:bCs/>
                <w:color w:val="404040" w:themeColor="text1" w:themeTint="BF"/>
                <w:sz w:val="21"/>
                <w:szCs w:val="21"/>
                <w:lang w:val="en-GB"/>
              </w:rPr>
              <w:t>In terms of the KSA’s Vision 2030</w:t>
            </w:r>
            <w:r w:rsidRPr="003C206F">
              <w:rPr>
                <w:rStyle w:val="EndnoteReference"/>
                <w:rFonts w:ascii="Roboto" w:hAnsi="Roboto" w:cs="Calibri"/>
                <w:b/>
                <w:color w:val="404040" w:themeColor="text1" w:themeTint="BF"/>
                <w:sz w:val="21"/>
                <w:szCs w:val="21"/>
                <w:lang w:val="en-GB"/>
              </w:rPr>
              <w:endnoteReference w:id="26"/>
            </w:r>
          </w:p>
        </w:tc>
      </w:tr>
      <w:tr w:rsidR="001A7FFD" w:rsidRPr="003C206F" w14:paraId="61EF4199" w14:textId="77777777" w:rsidTr="005A5556">
        <w:tc>
          <w:tcPr>
            <w:tcW w:w="0" w:type="auto"/>
            <w:tcBorders>
              <w:top w:val="single" w:sz="4" w:space="0" w:color="000000"/>
              <w:left w:val="single" w:sz="4" w:space="0" w:color="000000"/>
              <w:bottom w:val="single" w:sz="4" w:space="0" w:color="000000"/>
              <w:right w:val="single" w:sz="4" w:space="0" w:color="000000"/>
            </w:tcBorders>
            <w:shd w:val="clear" w:color="auto" w:fill="26BDE2"/>
            <w:tcMar>
              <w:top w:w="0" w:type="dxa"/>
              <w:left w:w="115" w:type="dxa"/>
              <w:bottom w:w="0" w:type="dxa"/>
              <w:right w:w="115" w:type="dxa"/>
            </w:tcMar>
            <w:vAlign w:val="center"/>
            <w:hideMark/>
          </w:tcPr>
          <w:p w14:paraId="26C784E9" w14:textId="77777777" w:rsidR="001A7FFD" w:rsidRPr="008029E6" w:rsidRDefault="001A7FFD" w:rsidP="005A5556">
            <w:pPr>
              <w:pStyle w:val="NormalWeb"/>
              <w:spacing w:before="0" w:beforeAutospacing="0" w:after="0" w:afterAutospacing="0"/>
              <w:jc w:val="center"/>
              <w:rPr>
                <w:rFonts w:ascii="Roboto" w:hAnsi="Roboto"/>
                <w:color w:val="FFFFFF" w:themeColor="background1"/>
                <w:sz w:val="21"/>
                <w:szCs w:val="21"/>
                <w:lang w:val="en-GB"/>
              </w:rPr>
            </w:pPr>
            <w:r w:rsidRPr="008029E6">
              <w:rPr>
                <w:rFonts w:ascii="Roboto" w:hAnsi="Roboto" w:cs="Calibri"/>
                <w:color w:val="FFFFFF" w:themeColor="background1"/>
                <w:sz w:val="21"/>
                <w:szCs w:val="21"/>
                <w:lang w:val="en-GB"/>
              </w:rPr>
              <w:t>Strategic Priority Area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2B663"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People: SDGs 1</w:t>
            </w:r>
            <w:r>
              <w:rPr>
                <w:rFonts w:ascii="Roboto" w:hAnsi="Roboto" w:cs="Calibri"/>
                <w:color w:val="404040" w:themeColor="text1" w:themeTint="BF"/>
                <w:sz w:val="21"/>
                <w:szCs w:val="21"/>
                <w:u w:val="single"/>
                <w:lang w:val="en-GB"/>
              </w:rPr>
              <w:t>–</w:t>
            </w:r>
            <w:r w:rsidRPr="003C206F">
              <w:rPr>
                <w:rFonts w:ascii="Roboto" w:hAnsi="Roboto" w:cs="Calibri"/>
                <w:color w:val="404040" w:themeColor="text1" w:themeTint="BF"/>
                <w:sz w:val="21"/>
                <w:szCs w:val="21"/>
                <w:u w:val="single"/>
                <w:lang w:val="en-GB"/>
              </w:rPr>
              <w:t>5</w:t>
            </w:r>
          </w:p>
          <w:p w14:paraId="4D5BC257" w14:textId="77777777" w:rsidR="001A7FFD" w:rsidRPr="003C206F" w:rsidRDefault="001A7FFD" w:rsidP="005A5556">
            <w:pPr>
              <w:pStyle w:val="NormalWeb"/>
              <w:spacing w:before="120" w:beforeAutospacing="0" w:after="12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Under the principles of ‘Leave No One Behind,’ ensure that all human beings can fulfil their potential in dignity, equity, and equality in a healthy environment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B5D4B" w14:textId="506AB0CC" w:rsidR="001A7FFD" w:rsidRPr="003C206F" w:rsidRDefault="00E719CA" w:rsidP="005A5556">
            <w:pPr>
              <w:pStyle w:val="NormalWeb"/>
              <w:spacing w:before="120" w:beforeAutospacing="0" w:after="120" w:afterAutospacing="0"/>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 xml:space="preserve">KSA’s </w:t>
            </w:r>
            <w:r w:rsidR="001A7FFD" w:rsidRPr="003C206F">
              <w:rPr>
                <w:rFonts w:ascii="Roboto" w:hAnsi="Roboto" w:cs="Calibri"/>
                <w:color w:val="404040" w:themeColor="text1" w:themeTint="BF"/>
                <w:sz w:val="21"/>
                <w:szCs w:val="21"/>
                <w:u w:val="single"/>
                <w:lang w:val="en-GB"/>
              </w:rPr>
              <w:t>Vision 2030 Pillars 1</w:t>
            </w:r>
            <w:r w:rsidR="001A7FFD">
              <w:rPr>
                <w:rFonts w:ascii="Roboto" w:hAnsi="Roboto" w:cs="Calibri"/>
                <w:color w:val="404040" w:themeColor="text1" w:themeTint="BF"/>
                <w:sz w:val="21"/>
                <w:szCs w:val="21"/>
                <w:u w:val="single"/>
                <w:lang w:val="en-GB"/>
              </w:rPr>
              <w:t>,</w:t>
            </w:r>
            <w:r w:rsidR="001A7FFD" w:rsidRPr="003C206F">
              <w:rPr>
                <w:rFonts w:ascii="Roboto" w:hAnsi="Roboto" w:cs="Calibri"/>
                <w:color w:val="404040" w:themeColor="text1" w:themeTint="BF"/>
                <w:sz w:val="21"/>
                <w:szCs w:val="21"/>
                <w:u w:val="single"/>
                <w:lang w:val="en-GB"/>
              </w:rPr>
              <w:t xml:space="preserve"> 2 </w:t>
            </w:r>
            <w:r w:rsidR="001A7FFD" w:rsidRPr="003C206F">
              <w:rPr>
                <w:rFonts w:ascii="Roboto" w:hAnsi="Roboto" w:cs="Calibri"/>
                <w:color w:val="404040" w:themeColor="text1" w:themeTint="BF"/>
                <w:sz w:val="21"/>
                <w:szCs w:val="21"/>
                <w:u w:val="single"/>
                <w:lang w:val="en-GB"/>
              </w:rPr>
              <w:br/>
              <w:t>Objectives 1, 2, 3, 4</w:t>
            </w:r>
            <w:r w:rsidR="001A7FFD" w:rsidRPr="003C206F">
              <w:rPr>
                <w:rFonts w:ascii="Roboto" w:hAnsi="Roboto" w:cs="Calibri"/>
                <w:color w:val="404040" w:themeColor="text1" w:themeTint="BF"/>
                <w:sz w:val="21"/>
                <w:szCs w:val="21"/>
                <w:lang w:val="en-GB"/>
              </w:rPr>
              <w:t xml:space="preserve">: </w:t>
            </w:r>
          </w:p>
          <w:p w14:paraId="0476F059"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Enhancing Values and Enabling a Fulfilling and Healthy Life &amp; Growing and Diversifying the Economy and Increasing Employment</w:t>
            </w:r>
          </w:p>
        </w:tc>
      </w:tr>
      <w:tr w:rsidR="001A7FFD" w:rsidRPr="003C206F" w14:paraId="1820ED87" w14:textId="77777777" w:rsidTr="005A5556">
        <w:tc>
          <w:tcPr>
            <w:tcW w:w="0" w:type="auto"/>
            <w:tcBorders>
              <w:top w:val="single" w:sz="4" w:space="0" w:color="000000"/>
              <w:left w:val="single" w:sz="4" w:space="0" w:color="000000"/>
              <w:bottom w:val="single" w:sz="4" w:space="0" w:color="000000"/>
              <w:right w:val="single" w:sz="4" w:space="0" w:color="000000"/>
            </w:tcBorders>
            <w:shd w:val="clear" w:color="auto" w:fill="FF3A21"/>
            <w:tcMar>
              <w:top w:w="0" w:type="dxa"/>
              <w:left w:w="115" w:type="dxa"/>
              <w:bottom w:w="0" w:type="dxa"/>
              <w:right w:w="115" w:type="dxa"/>
            </w:tcMar>
            <w:vAlign w:val="center"/>
            <w:hideMark/>
          </w:tcPr>
          <w:p w14:paraId="32B47E6C" w14:textId="77777777" w:rsidR="001A7FFD" w:rsidRPr="008029E6" w:rsidRDefault="001A7FFD" w:rsidP="005A5556">
            <w:pPr>
              <w:pStyle w:val="NormalWeb"/>
              <w:spacing w:before="0" w:beforeAutospacing="0" w:after="0" w:afterAutospacing="0"/>
              <w:jc w:val="center"/>
              <w:rPr>
                <w:rFonts w:ascii="Roboto" w:hAnsi="Roboto"/>
                <w:color w:val="FFFFFF" w:themeColor="background1"/>
                <w:sz w:val="21"/>
                <w:szCs w:val="21"/>
                <w:lang w:val="en-GB"/>
              </w:rPr>
            </w:pPr>
            <w:r w:rsidRPr="008029E6">
              <w:rPr>
                <w:rFonts w:ascii="Roboto" w:hAnsi="Roboto" w:cs="Calibri"/>
                <w:color w:val="FFFFFF" w:themeColor="background1"/>
                <w:sz w:val="21"/>
                <w:szCs w:val="21"/>
                <w:lang w:val="en-GB"/>
              </w:rPr>
              <w:t>Strategic Priority Area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2C808"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u w:val="single"/>
                <w:lang w:val="en-GB"/>
              </w:rPr>
            </w:pPr>
            <w:r w:rsidRPr="003C206F">
              <w:rPr>
                <w:rFonts w:ascii="Roboto" w:hAnsi="Roboto" w:cs="Calibri"/>
                <w:color w:val="404040" w:themeColor="text1" w:themeTint="BF"/>
                <w:sz w:val="21"/>
                <w:szCs w:val="21"/>
                <w:u w:val="single"/>
                <w:lang w:val="en-GB"/>
              </w:rPr>
              <w:t>Planet: SDGs 6 and 12</w:t>
            </w:r>
            <w:r>
              <w:rPr>
                <w:rFonts w:ascii="Roboto" w:hAnsi="Roboto" w:cs="Calibri"/>
                <w:color w:val="404040" w:themeColor="text1" w:themeTint="BF"/>
                <w:sz w:val="21"/>
                <w:szCs w:val="21"/>
                <w:u w:val="single"/>
                <w:lang w:val="en-GB"/>
              </w:rPr>
              <w:t>–</w:t>
            </w:r>
            <w:r w:rsidRPr="003C206F">
              <w:rPr>
                <w:rFonts w:ascii="Roboto" w:hAnsi="Roboto" w:cs="Calibri"/>
                <w:color w:val="404040" w:themeColor="text1" w:themeTint="BF"/>
                <w:sz w:val="21"/>
                <w:szCs w:val="21"/>
                <w:u w:val="single"/>
                <w:lang w:val="en-GB"/>
              </w:rPr>
              <w:t>15</w:t>
            </w:r>
          </w:p>
          <w:p w14:paraId="55A0A9BB" w14:textId="77777777" w:rsidR="001A7FFD" w:rsidRPr="003C206F" w:rsidRDefault="001A7FFD" w:rsidP="005A5556">
            <w:pPr>
              <w:pStyle w:val="NormalWeb"/>
              <w:spacing w:before="120" w:beforeAutospacing="0" w:after="12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Protect the planet from degradation, including through sustainable consumption and production, sustainably manage its natural resources, and take urgent action on climate change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C4813" w14:textId="15D04ADD" w:rsidR="001A7FFD" w:rsidRPr="003C206F" w:rsidRDefault="00E719CA" w:rsidP="005A5556">
            <w:pPr>
              <w:pStyle w:val="NormalWeb"/>
              <w:spacing w:before="120" w:beforeAutospacing="0" w:after="120" w:afterAutospacing="0"/>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 xml:space="preserve">KSA’s </w:t>
            </w:r>
            <w:r w:rsidR="001A7FFD" w:rsidRPr="003C206F">
              <w:rPr>
                <w:rFonts w:ascii="Roboto" w:hAnsi="Roboto" w:cs="Calibri"/>
                <w:color w:val="404040" w:themeColor="text1" w:themeTint="BF"/>
                <w:sz w:val="21"/>
                <w:szCs w:val="21"/>
                <w:u w:val="single"/>
                <w:lang w:val="en-GB"/>
              </w:rPr>
              <w:t>Vision 2030 Pillars 2</w:t>
            </w:r>
            <w:r w:rsidR="001A7FFD">
              <w:rPr>
                <w:rFonts w:ascii="Roboto" w:hAnsi="Roboto" w:cs="Calibri"/>
                <w:color w:val="404040" w:themeColor="text1" w:themeTint="BF"/>
                <w:sz w:val="21"/>
                <w:szCs w:val="21"/>
                <w:u w:val="single"/>
                <w:lang w:val="en-GB"/>
              </w:rPr>
              <w:t>,</w:t>
            </w:r>
            <w:r w:rsidR="001A7FFD" w:rsidRPr="003C206F">
              <w:rPr>
                <w:rFonts w:ascii="Roboto" w:hAnsi="Roboto" w:cs="Calibri"/>
                <w:color w:val="404040" w:themeColor="text1" w:themeTint="BF"/>
                <w:sz w:val="21"/>
                <w:szCs w:val="21"/>
                <w:u w:val="single"/>
                <w:lang w:val="en-GB"/>
              </w:rPr>
              <w:t xml:space="preserve"> 3 </w:t>
            </w:r>
            <w:r w:rsidR="001A7FFD" w:rsidRPr="003C206F">
              <w:rPr>
                <w:rFonts w:ascii="Roboto" w:hAnsi="Roboto" w:cs="Calibri"/>
                <w:color w:val="404040" w:themeColor="text1" w:themeTint="BF"/>
                <w:sz w:val="21"/>
                <w:szCs w:val="21"/>
                <w:u w:val="single"/>
                <w:lang w:val="en-GB"/>
              </w:rPr>
              <w:br/>
              <w:t>Objectives 3, 4, 5, 6</w:t>
            </w:r>
            <w:r w:rsidR="001A7FFD" w:rsidRPr="003C206F">
              <w:rPr>
                <w:rFonts w:ascii="Roboto" w:hAnsi="Roboto" w:cs="Calibri"/>
                <w:color w:val="404040" w:themeColor="text1" w:themeTint="BF"/>
                <w:sz w:val="21"/>
                <w:szCs w:val="21"/>
                <w:lang w:val="en-GB"/>
              </w:rPr>
              <w:t xml:space="preserve">: </w:t>
            </w:r>
          </w:p>
          <w:p w14:paraId="7985ABE8" w14:textId="77777777" w:rsidR="001A7FFD" w:rsidRPr="003C206F" w:rsidRDefault="001A7FFD" w:rsidP="005A5556">
            <w:pPr>
              <w:pStyle w:val="NormalWeb"/>
              <w:spacing w:before="120" w:beforeAutospacing="0" w:after="12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Growing and Diversifying the Economy and Increasing Employment &amp; Enhancing Government Effectiveness and Enabling Social Responsibility</w:t>
            </w:r>
          </w:p>
        </w:tc>
      </w:tr>
      <w:tr w:rsidR="001A7FFD" w:rsidRPr="003C206F" w14:paraId="62D620B8" w14:textId="77777777" w:rsidTr="005A5556">
        <w:tc>
          <w:tcPr>
            <w:tcW w:w="0" w:type="auto"/>
            <w:tcBorders>
              <w:top w:val="single" w:sz="4" w:space="0" w:color="000000"/>
              <w:left w:val="single" w:sz="4" w:space="0" w:color="000000"/>
              <w:bottom w:val="single" w:sz="4" w:space="0" w:color="000000"/>
              <w:right w:val="single" w:sz="4" w:space="0" w:color="000000"/>
            </w:tcBorders>
            <w:shd w:val="clear" w:color="auto" w:fill="4C9F38"/>
            <w:tcMar>
              <w:top w:w="0" w:type="dxa"/>
              <w:left w:w="115" w:type="dxa"/>
              <w:bottom w:w="0" w:type="dxa"/>
              <w:right w:w="115" w:type="dxa"/>
            </w:tcMar>
            <w:vAlign w:val="center"/>
            <w:hideMark/>
          </w:tcPr>
          <w:p w14:paraId="42450C77" w14:textId="77777777" w:rsidR="001A7FFD" w:rsidRPr="008029E6" w:rsidRDefault="001A7FFD" w:rsidP="005A5556">
            <w:pPr>
              <w:pStyle w:val="NormalWeb"/>
              <w:spacing w:before="0" w:beforeAutospacing="0" w:after="0" w:afterAutospacing="0"/>
              <w:jc w:val="center"/>
              <w:rPr>
                <w:rFonts w:ascii="Roboto" w:hAnsi="Roboto"/>
                <w:color w:val="FFFFFF" w:themeColor="background1"/>
                <w:sz w:val="21"/>
                <w:szCs w:val="21"/>
                <w:lang w:val="en-GB"/>
              </w:rPr>
            </w:pPr>
            <w:r w:rsidRPr="008029E6">
              <w:rPr>
                <w:rFonts w:ascii="Roboto" w:hAnsi="Roboto" w:cs="Calibri"/>
                <w:color w:val="FFFFFF" w:themeColor="background1"/>
                <w:sz w:val="21"/>
                <w:szCs w:val="21"/>
                <w:lang w:val="en-GB"/>
              </w:rPr>
              <w:t>Strategic Priority Area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C0273"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Prosperity: SDGs 7</w:t>
            </w:r>
            <w:r>
              <w:rPr>
                <w:rFonts w:ascii="Roboto" w:hAnsi="Roboto" w:cs="Calibri"/>
                <w:color w:val="404040" w:themeColor="text1" w:themeTint="BF"/>
                <w:sz w:val="21"/>
                <w:szCs w:val="21"/>
                <w:u w:val="single"/>
                <w:lang w:val="en-GB"/>
              </w:rPr>
              <w:t>–</w:t>
            </w:r>
            <w:r w:rsidRPr="003C206F">
              <w:rPr>
                <w:rFonts w:ascii="Roboto" w:hAnsi="Roboto" w:cs="Calibri"/>
                <w:color w:val="404040" w:themeColor="text1" w:themeTint="BF"/>
                <w:sz w:val="21"/>
                <w:szCs w:val="21"/>
                <w:u w:val="single"/>
                <w:lang w:val="en-GB"/>
              </w:rPr>
              <w:t>11</w:t>
            </w:r>
          </w:p>
          <w:p w14:paraId="77F6F215" w14:textId="77777777" w:rsidR="001A7FFD" w:rsidRPr="003C206F" w:rsidRDefault="001A7FFD" w:rsidP="005A5556">
            <w:pPr>
              <w:pStyle w:val="NormalWeb"/>
              <w:spacing w:before="120" w:beforeAutospacing="0" w:after="12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 xml:space="preserve">Ensure that all human beings can enjoy prosperous and fulfilling lives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1F6A7" w14:textId="181F7CF4" w:rsidR="001A7FFD" w:rsidRPr="003C206F" w:rsidRDefault="00E719CA" w:rsidP="005A5556">
            <w:pPr>
              <w:pStyle w:val="NormalWeb"/>
              <w:spacing w:before="120" w:beforeAutospacing="0" w:after="120" w:afterAutospacing="0"/>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 xml:space="preserve">KSA’s </w:t>
            </w:r>
            <w:r w:rsidR="001A7FFD" w:rsidRPr="003C206F">
              <w:rPr>
                <w:rFonts w:ascii="Roboto" w:hAnsi="Roboto" w:cs="Calibri"/>
                <w:color w:val="404040" w:themeColor="text1" w:themeTint="BF"/>
                <w:sz w:val="21"/>
                <w:szCs w:val="21"/>
                <w:u w:val="single"/>
                <w:lang w:val="en-GB"/>
              </w:rPr>
              <w:t>Vision 2030 Pillars 2</w:t>
            </w:r>
            <w:r w:rsidR="001A7FFD">
              <w:rPr>
                <w:rFonts w:ascii="Roboto" w:hAnsi="Roboto" w:cs="Calibri"/>
                <w:color w:val="404040" w:themeColor="text1" w:themeTint="BF"/>
                <w:sz w:val="21"/>
                <w:szCs w:val="21"/>
                <w:u w:val="single"/>
                <w:lang w:val="en-GB"/>
              </w:rPr>
              <w:t xml:space="preserve">, </w:t>
            </w:r>
            <w:r w:rsidR="001A7FFD" w:rsidRPr="003C206F">
              <w:rPr>
                <w:rFonts w:ascii="Roboto" w:hAnsi="Roboto" w:cs="Calibri"/>
                <w:color w:val="404040" w:themeColor="text1" w:themeTint="BF"/>
                <w:sz w:val="21"/>
                <w:szCs w:val="21"/>
                <w:u w:val="single"/>
                <w:lang w:val="en-GB"/>
              </w:rPr>
              <w:t xml:space="preserve">3 </w:t>
            </w:r>
            <w:r w:rsidR="001A7FFD" w:rsidRPr="003C206F">
              <w:rPr>
                <w:rFonts w:ascii="Roboto" w:hAnsi="Roboto" w:cs="Calibri"/>
                <w:color w:val="404040" w:themeColor="text1" w:themeTint="BF"/>
                <w:sz w:val="21"/>
                <w:szCs w:val="21"/>
                <w:u w:val="single"/>
                <w:lang w:val="en-GB"/>
              </w:rPr>
              <w:br/>
              <w:t>Objectives 3, 4, 5, 6</w:t>
            </w:r>
            <w:r w:rsidR="001A7FFD" w:rsidRPr="003C206F">
              <w:rPr>
                <w:rFonts w:ascii="Roboto" w:hAnsi="Roboto" w:cs="Calibri"/>
                <w:color w:val="404040" w:themeColor="text1" w:themeTint="BF"/>
                <w:sz w:val="21"/>
                <w:szCs w:val="21"/>
                <w:lang w:val="en-GB"/>
              </w:rPr>
              <w:t xml:space="preserve">: </w:t>
            </w:r>
          </w:p>
          <w:p w14:paraId="61505B94" w14:textId="77777777" w:rsidR="001A7FFD" w:rsidRPr="003C206F" w:rsidRDefault="001A7FFD" w:rsidP="005A5556">
            <w:pPr>
              <w:pStyle w:val="NormalWeb"/>
              <w:spacing w:before="120" w:beforeAutospacing="0" w:after="120" w:afterAutospacing="0"/>
              <w:jc w:val="both"/>
              <w:rPr>
                <w:rFonts w:ascii="Roboto" w:hAnsi="Roboto"/>
                <w:color w:val="404040" w:themeColor="text1" w:themeTint="BF"/>
                <w:sz w:val="21"/>
                <w:szCs w:val="21"/>
                <w:lang w:val="en-GB"/>
              </w:rPr>
            </w:pPr>
            <w:r w:rsidRPr="003C206F">
              <w:rPr>
                <w:rFonts w:ascii="Roboto" w:hAnsi="Roboto" w:cs="Calibri"/>
                <w:color w:val="404040" w:themeColor="text1" w:themeTint="BF"/>
                <w:sz w:val="21"/>
                <w:szCs w:val="21"/>
                <w:lang w:val="en-GB"/>
              </w:rPr>
              <w:t>Growing and Diversifying the Economy and Increasing Employment &amp; Enhancing Government Effectiveness and Enabling Social Responsibility</w:t>
            </w:r>
          </w:p>
        </w:tc>
      </w:tr>
      <w:tr w:rsidR="001A7FFD" w:rsidRPr="003C206F" w14:paraId="6F91823B" w14:textId="77777777" w:rsidTr="005A5556">
        <w:tc>
          <w:tcPr>
            <w:tcW w:w="0" w:type="auto"/>
            <w:tcBorders>
              <w:top w:val="single" w:sz="4" w:space="0" w:color="000000"/>
              <w:left w:val="single" w:sz="4" w:space="0" w:color="000000"/>
              <w:bottom w:val="single" w:sz="4" w:space="0" w:color="000000"/>
              <w:right w:val="single" w:sz="4" w:space="0" w:color="000000"/>
            </w:tcBorders>
            <w:shd w:val="clear" w:color="auto" w:fill="FCC30B"/>
            <w:tcMar>
              <w:top w:w="0" w:type="dxa"/>
              <w:left w:w="115" w:type="dxa"/>
              <w:bottom w:w="0" w:type="dxa"/>
              <w:right w:w="115" w:type="dxa"/>
            </w:tcMar>
            <w:vAlign w:val="center"/>
            <w:hideMark/>
          </w:tcPr>
          <w:p w14:paraId="4BB21885" w14:textId="77777777" w:rsidR="001A7FFD" w:rsidRPr="008029E6" w:rsidRDefault="001A7FFD" w:rsidP="005A5556">
            <w:pPr>
              <w:pStyle w:val="NormalWeb"/>
              <w:spacing w:before="0" w:beforeAutospacing="0" w:after="0" w:afterAutospacing="0"/>
              <w:jc w:val="center"/>
              <w:rPr>
                <w:rFonts w:ascii="Roboto" w:hAnsi="Roboto"/>
                <w:color w:val="FFFFFF" w:themeColor="background1"/>
                <w:sz w:val="21"/>
                <w:szCs w:val="21"/>
                <w:lang w:val="en-GB"/>
              </w:rPr>
            </w:pPr>
            <w:r w:rsidRPr="008029E6">
              <w:rPr>
                <w:rFonts w:ascii="Roboto" w:hAnsi="Roboto" w:cs="Calibri"/>
                <w:color w:val="FFFFFF" w:themeColor="background1"/>
                <w:sz w:val="21"/>
                <w:szCs w:val="21"/>
                <w:lang w:val="en-GB"/>
              </w:rPr>
              <w:t>Strategic Priority Area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392D1" w14:textId="77777777" w:rsidR="001A7FFD" w:rsidRPr="003C206F" w:rsidRDefault="001A7FFD" w:rsidP="005A5556">
            <w:pPr>
              <w:pStyle w:val="NormalWeb"/>
              <w:spacing w:before="120" w:beforeAutospacing="0" w:after="120" w:afterAutospacing="0"/>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u w:val="single"/>
                <w:lang w:val="en-GB"/>
              </w:rPr>
              <w:t>Peace, Partnership, &amp; Other Cross-Cutting Issues: SDGs 16</w:t>
            </w:r>
            <w:r>
              <w:rPr>
                <w:rFonts w:ascii="Roboto" w:hAnsi="Roboto" w:cs="Calibri"/>
                <w:color w:val="404040" w:themeColor="text1" w:themeTint="BF"/>
                <w:sz w:val="21"/>
                <w:szCs w:val="21"/>
                <w:u w:val="single"/>
                <w:lang w:val="en-GB"/>
              </w:rPr>
              <w:t>–</w:t>
            </w:r>
            <w:r w:rsidRPr="003C206F">
              <w:rPr>
                <w:rFonts w:ascii="Roboto" w:hAnsi="Roboto" w:cs="Calibri"/>
                <w:color w:val="404040" w:themeColor="text1" w:themeTint="BF"/>
                <w:sz w:val="21"/>
                <w:szCs w:val="21"/>
                <w:u w:val="single"/>
                <w:lang w:val="en-GB"/>
              </w:rPr>
              <w:t>17</w:t>
            </w:r>
          </w:p>
          <w:p w14:paraId="29041001"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Foster peaceful, just, and inclusive societies and mobilize the means required for implementation </w:t>
            </w:r>
            <w:r w:rsidRPr="003C206F">
              <w:rPr>
                <w:rFonts w:ascii="Roboto" w:hAnsi="Roboto" w:cs="Calibri"/>
                <w:color w:val="404040" w:themeColor="text1" w:themeTint="BF"/>
                <w:sz w:val="21"/>
                <w:szCs w:val="21"/>
                <w:lang w:val="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6B30F" w14:textId="2A3855AE" w:rsidR="001A7FFD" w:rsidRPr="003C206F" w:rsidRDefault="00E719CA" w:rsidP="005A5556">
            <w:pPr>
              <w:pStyle w:val="NormalWeb"/>
              <w:spacing w:before="120" w:beforeAutospacing="0" w:after="120" w:afterAutospacing="0"/>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 xml:space="preserve">KSA’s </w:t>
            </w:r>
            <w:r w:rsidR="001A7FFD" w:rsidRPr="003C206F">
              <w:rPr>
                <w:rFonts w:ascii="Roboto" w:hAnsi="Roboto" w:cs="Calibri"/>
                <w:color w:val="404040" w:themeColor="text1" w:themeTint="BF"/>
                <w:sz w:val="21"/>
                <w:szCs w:val="21"/>
                <w:u w:val="single"/>
                <w:lang w:val="en-GB"/>
              </w:rPr>
              <w:t xml:space="preserve">Vision 2030 Pillars 1, 2, 3 </w:t>
            </w:r>
            <w:r w:rsidR="001A7FFD" w:rsidRPr="003C206F">
              <w:rPr>
                <w:rFonts w:ascii="Roboto" w:hAnsi="Roboto" w:cs="Calibri"/>
                <w:color w:val="404040" w:themeColor="text1" w:themeTint="BF"/>
                <w:sz w:val="21"/>
                <w:szCs w:val="21"/>
                <w:u w:val="single"/>
                <w:lang w:val="en-GB"/>
              </w:rPr>
              <w:br/>
              <w:t>Objectives 1, 2, 3, 4, 5, 6</w:t>
            </w:r>
            <w:r w:rsidR="001A7FFD" w:rsidRPr="003C206F">
              <w:rPr>
                <w:rFonts w:ascii="Roboto" w:hAnsi="Roboto" w:cs="Calibri"/>
                <w:color w:val="404040" w:themeColor="text1" w:themeTint="BF"/>
                <w:sz w:val="21"/>
                <w:szCs w:val="21"/>
                <w:lang w:val="en-GB"/>
              </w:rPr>
              <w:t xml:space="preserve">: </w:t>
            </w:r>
          </w:p>
          <w:p w14:paraId="7C6FFEDE" w14:textId="77777777" w:rsidR="001A7FFD" w:rsidRPr="003C206F" w:rsidRDefault="001A7FFD" w:rsidP="005A5556">
            <w:pPr>
              <w:pStyle w:val="NormalWeb"/>
              <w:spacing w:before="120" w:beforeAutospacing="0" w:after="12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Enhancing Values and Enabling a Fulfilling and Healthy Life, Growing and Diversifying the Economy and Increasing Employment, &amp; Enhancing Government Effectiveness and Enabling Social Responsibility</w:t>
            </w:r>
          </w:p>
        </w:tc>
      </w:tr>
    </w:tbl>
    <w:p w14:paraId="3C3E0DBD" w14:textId="77777777" w:rsidR="001A7FFD" w:rsidRPr="003C206F" w:rsidRDefault="001A7FFD" w:rsidP="001A7FFD">
      <w:pPr>
        <w:rPr>
          <w:rFonts w:ascii="Roboto" w:hAnsi="Roboto"/>
          <w:b/>
          <w:bCs/>
          <w:color w:val="404040" w:themeColor="text1" w:themeTint="BF"/>
          <w:sz w:val="21"/>
          <w:szCs w:val="21"/>
          <w:lang w:val="en-GB"/>
        </w:rPr>
      </w:pPr>
    </w:p>
    <w:p w14:paraId="33A1F2B0" w14:textId="4C6968AE" w:rsidR="001A7FFD" w:rsidRPr="003C206F" w:rsidRDefault="001A7FFD" w:rsidP="001A7FFD">
      <w:pPr>
        <w:pStyle w:val="NormalWeb"/>
        <w:spacing w:before="120" w:beforeAutospacing="0" w:after="120" w:afterAutospacing="0"/>
        <w:jc w:val="both"/>
        <w:rPr>
          <w:rFonts w:ascii="Roboto" w:hAnsi="Roboto"/>
          <w:color w:val="404040" w:themeColor="text1" w:themeTint="BF"/>
          <w:sz w:val="21"/>
          <w:szCs w:val="21"/>
          <w:lang w:val="en-GB"/>
        </w:rPr>
      </w:pPr>
      <w:r>
        <w:rPr>
          <w:rFonts w:ascii="Roboto" w:hAnsi="Roboto" w:cs="Calibri"/>
          <w:color w:val="404040" w:themeColor="text1" w:themeTint="BF"/>
          <w:sz w:val="21"/>
          <w:szCs w:val="21"/>
          <w:lang w:val="en-GB"/>
        </w:rPr>
        <w:t xml:space="preserve">Below, </w:t>
      </w:r>
      <w:r w:rsidRPr="003C206F">
        <w:rPr>
          <w:rFonts w:ascii="Roboto" w:hAnsi="Roboto" w:cs="Calibri"/>
          <w:color w:val="404040" w:themeColor="text1" w:themeTint="BF"/>
          <w:sz w:val="21"/>
          <w:szCs w:val="21"/>
          <w:lang w:val="en-GB"/>
        </w:rPr>
        <w:t xml:space="preserve">Tables </w:t>
      </w:r>
      <w:r>
        <w:rPr>
          <w:rFonts w:ascii="Roboto" w:hAnsi="Roboto" w:cs="Calibri"/>
          <w:color w:val="404040" w:themeColor="text1" w:themeTint="BF"/>
          <w:sz w:val="21"/>
          <w:szCs w:val="21"/>
          <w:lang w:val="en-GB"/>
        </w:rPr>
        <w:t>C</w:t>
      </w:r>
      <w:r w:rsidRPr="003C206F">
        <w:rPr>
          <w:rFonts w:ascii="Roboto" w:hAnsi="Roboto" w:cs="Calibri"/>
          <w:color w:val="404040" w:themeColor="text1" w:themeTint="BF"/>
          <w:sz w:val="21"/>
          <w:szCs w:val="21"/>
          <w:lang w:val="en-GB"/>
        </w:rPr>
        <w:t>.2–</w:t>
      </w:r>
      <w:r>
        <w:rPr>
          <w:rFonts w:ascii="Roboto" w:hAnsi="Roboto" w:cs="Calibri"/>
          <w:color w:val="404040" w:themeColor="text1" w:themeTint="BF"/>
          <w:sz w:val="21"/>
          <w:szCs w:val="21"/>
          <w:lang w:val="en-GB"/>
        </w:rPr>
        <w:t>C</w:t>
      </w:r>
      <w:r w:rsidRPr="003C206F">
        <w:rPr>
          <w:rFonts w:ascii="Roboto" w:hAnsi="Roboto" w:cs="Calibri"/>
          <w:color w:val="404040" w:themeColor="text1" w:themeTint="BF"/>
          <w:sz w:val="21"/>
          <w:szCs w:val="21"/>
          <w:lang w:val="en-GB"/>
        </w:rPr>
        <w:t>.5 describe</w:t>
      </w:r>
      <w:r w:rsidR="00470709">
        <w:rPr>
          <w:rFonts w:ascii="Roboto" w:hAnsi="Roboto" w:cs="Calibri"/>
          <w:color w:val="404040" w:themeColor="text1" w:themeTint="BF"/>
          <w:sz w:val="21"/>
          <w:szCs w:val="21"/>
          <w:lang w:val="en-GB"/>
        </w:rPr>
        <w:t>s</w:t>
      </w:r>
      <w:r w:rsidRPr="003C206F">
        <w:rPr>
          <w:rFonts w:ascii="Roboto" w:hAnsi="Roboto" w:cs="Calibri"/>
          <w:color w:val="404040" w:themeColor="text1" w:themeTint="BF"/>
          <w:sz w:val="21"/>
          <w:szCs w:val="21"/>
          <w:lang w:val="en-GB"/>
        </w:rPr>
        <w:t xml:space="preserve"> the relationship between </w:t>
      </w:r>
      <w:r w:rsidR="00E719CA">
        <w:rPr>
          <w:rFonts w:ascii="Roboto" w:hAnsi="Roboto" w:cs="Calibri"/>
          <w:color w:val="404040" w:themeColor="text1" w:themeTint="BF"/>
          <w:sz w:val="21"/>
          <w:szCs w:val="21"/>
          <w:lang w:val="en-GB"/>
        </w:rPr>
        <w:t xml:space="preserve">the KSA’s </w:t>
      </w:r>
      <w:r w:rsidRPr="003C206F">
        <w:rPr>
          <w:rFonts w:ascii="Roboto" w:hAnsi="Roboto" w:cs="Calibri"/>
          <w:color w:val="404040" w:themeColor="text1" w:themeTint="BF"/>
          <w:sz w:val="21"/>
          <w:szCs w:val="21"/>
          <w:lang w:val="en-GB"/>
        </w:rPr>
        <w:t>Vision 2030’s Level 1</w:t>
      </w:r>
      <w:r>
        <w:rPr>
          <w:rFonts w:ascii="Roboto" w:hAnsi="Roboto" w:cs="Calibri"/>
          <w:color w:val="404040" w:themeColor="text1" w:themeTint="BF"/>
          <w:sz w:val="21"/>
          <w:szCs w:val="21"/>
          <w:lang w:val="en-GB"/>
        </w:rPr>
        <w:t xml:space="preserve"> ‘</w:t>
      </w:r>
      <w:r w:rsidRPr="003C206F">
        <w:rPr>
          <w:rFonts w:ascii="Roboto" w:hAnsi="Roboto" w:cs="Calibri"/>
          <w:color w:val="404040" w:themeColor="text1" w:themeTint="BF"/>
          <w:sz w:val="21"/>
          <w:szCs w:val="21"/>
          <w:lang w:val="en-GB"/>
        </w:rPr>
        <w:t>overarching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and </w:t>
      </w:r>
      <w:r>
        <w:rPr>
          <w:rFonts w:ascii="Roboto" w:hAnsi="Roboto" w:cs="Calibri"/>
          <w:color w:val="404040" w:themeColor="text1" w:themeTint="BF"/>
          <w:sz w:val="21"/>
          <w:szCs w:val="21"/>
          <w:lang w:val="en-GB"/>
        </w:rPr>
        <w:t xml:space="preserve">its </w:t>
      </w:r>
      <w:r w:rsidRPr="003C206F">
        <w:rPr>
          <w:rFonts w:ascii="Roboto" w:hAnsi="Roboto" w:cs="Calibri"/>
          <w:color w:val="404040" w:themeColor="text1" w:themeTint="BF"/>
          <w:sz w:val="21"/>
          <w:szCs w:val="21"/>
          <w:lang w:val="en-GB"/>
        </w:rPr>
        <w:t xml:space="preserve">Level 2 </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branch objectives</w:t>
      </w:r>
      <w:r>
        <w:rPr>
          <w:rFonts w:ascii="Roboto" w:hAnsi="Roboto" w:cs="Calibri"/>
          <w:color w:val="404040" w:themeColor="text1" w:themeTint="BF"/>
          <w:sz w:val="21"/>
          <w:szCs w:val="21"/>
          <w:lang w:val="en-GB"/>
        </w:rPr>
        <w:t>’</w:t>
      </w:r>
      <w:r w:rsidRPr="003C206F">
        <w:rPr>
          <w:rFonts w:ascii="Roboto" w:hAnsi="Roboto" w:cs="Calibri"/>
          <w:color w:val="404040" w:themeColor="text1" w:themeTint="BF"/>
          <w:sz w:val="21"/>
          <w:szCs w:val="21"/>
          <w:lang w:val="en-GB"/>
        </w:rPr>
        <w:t xml:space="preserve"> in terms of UN activities (</w:t>
      </w:r>
      <w:r>
        <w:rPr>
          <w:rFonts w:ascii="Roboto" w:hAnsi="Roboto" w:cs="Calibri"/>
          <w:color w:val="404040" w:themeColor="text1" w:themeTint="BF"/>
          <w:sz w:val="21"/>
          <w:szCs w:val="21"/>
          <w:lang w:val="en-GB"/>
        </w:rPr>
        <w:t>N</w:t>
      </w:r>
      <w:r w:rsidRPr="003C206F">
        <w:rPr>
          <w:rFonts w:ascii="Roboto" w:hAnsi="Roboto" w:cs="Calibri"/>
          <w:color w:val="404040" w:themeColor="text1" w:themeTint="BF"/>
          <w:sz w:val="21"/>
          <w:szCs w:val="21"/>
          <w:lang w:val="en-GB"/>
        </w:rPr>
        <w:t>umber</w:t>
      </w:r>
      <w:r>
        <w:rPr>
          <w:rFonts w:ascii="Roboto" w:hAnsi="Roboto" w:cs="Calibri"/>
          <w:color w:val="404040" w:themeColor="text1" w:themeTint="BF"/>
          <w:sz w:val="21"/>
          <w:szCs w:val="21"/>
          <w:lang w:val="en-GB"/>
        </w:rPr>
        <w:t xml:space="preserve"> of Activities</w:t>
      </w:r>
      <w:r w:rsidRPr="003C206F">
        <w:rPr>
          <w:rFonts w:ascii="Roboto" w:hAnsi="Roboto" w:cs="Calibri"/>
          <w:color w:val="404040" w:themeColor="text1" w:themeTint="BF"/>
          <w:sz w:val="21"/>
          <w:szCs w:val="21"/>
          <w:lang w:val="en-GB"/>
        </w:rPr>
        <w:t xml:space="preserve">, </w:t>
      </w:r>
      <w:r>
        <w:rPr>
          <w:rFonts w:ascii="Roboto" w:hAnsi="Roboto" w:cs="Calibri"/>
          <w:color w:val="404040" w:themeColor="text1" w:themeTint="BF"/>
          <w:sz w:val="21"/>
          <w:szCs w:val="21"/>
          <w:lang w:val="en-GB"/>
        </w:rPr>
        <w:t>T</w:t>
      </w:r>
      <w:r w:rsidRPr="003C206F">
        <w:rPr>
          <w:rFonts w:ascii="Roboto" w:hAnsi="Roboto" w:cs="Calibri"/>
          <w:color w:val="404040" w:themeColor="text1" w:themeTint="BF"/>
          <w:sz w:val="21"/>
          <w:szCs w:val="21"/>
          <w:lang w:val="en-GB"/>
        </w:rPr>
        <w:t xml:space="preserve">otal </w:t>
      </w:r>
      <w:r>
        <w:rPr>
          <w:rFonts w:ascii="Roboto" w:hAnsi="Roboto" w:cs="Calibri"/>
          <w:color w:val="404040" w:themeColor="text1" w:themeTint="BF"/>
          <w:sz w:val="21"/>
          <w:szCs w:val="21"/>
          <w:lang w:val="en-GB"/>
        </w:rPr>
        <w:t>E</w:t>
      </w:r>
      <w:r w:rsidRPr="003C206F">
        <w:rPr>
          <w:rFonts w:ascii="Roboto" w:hAnsi="Roboto" w:cs="Calibri"/>
          <w:color w:val="404040" w:themeColor="text1" w:themeTint="BF"/>
          <w:sz w:val="21"/>
          <w:szCs w:val="21"/>
          <w:lang w:val="en-GB"/>
        </w:rPr>
        <w:t xml:space="preserve">stimated </w:t>
      </w:r>
      <w:r>
        <w:rPr>
          <w:rFonts w:ascii="Roboto" w:hAnsi="Roboto" w:cs="Calibri"/>
          <w:color w:val="404040" w:themeColor="text1" w:themeTint="BF"/>
          <w:sz w:val="21"/>
          <w:szCs w:val="21"/>
          <w:lang w:val="en-GB"/>
        </w:rPr>
        <w:t>C</w:t>
      </w:r>
      <w:r w:rsidRPr="003C206F">
        <w:rPr>
          <w:rFonts w:ascii="Roboto" w:hAnsi="Roboto" w:cs="Calibri"/>
          <w:color w:val="404040" w:themeColor="text1" w:themeTint="BF"/>
          <w:sz w:val="21"/>
          <w:szCs w:val="21"/>
          <w:lang w:val="en-GB"/>
        </w:rPr>
        <w:t>ost), AFPs, Saudi partner organizations, and relevant SDGs. </w:t>
      </w:r>
    </w:p>
    <w:p w14:paraId="66E81A69" w14:textId="77777777" w:rsidR="001A7FFD" w:rsidRPr="003C206F" w:rsidRDefault="001A7FFD" w:rsidP="001A7FFD">
      <w:pPr>
        <w:rPr>
          <w:rFonts w:ascii="Roboto" w:hAnsi="Roboto" w:cs="Calibri"/>
          <w:b/>
          <w:bCs/>
          <w:color w:val="404040" w:themeColor="text1" w:themeTint="BF"/>
          <w:sz w:val="22"/>
          <w:szCs w:val="22"/>
          <w:lang w:val="en-GB"/>
        </w:rPr>
      </w:pPr>
      <w:r w:rsidRPr="003C206F">
        <w:rPr>
          <w:rFonts w:ascii="Roboto" w:hAnsi="Roboto" w:cs="Calibri"/>
          <w:b/>
          <w:bCs/>
          <w:color w:val="404040" w:themeColor="text1" w:themeTint="BF"/>
          <w:sz w:val="22"/>
          <w:szCs w:val="22"/>
          <w:lang w:val="en-GB"/>
        </w:rPr>
        <w:br w:type="page"/>
      </w:r>
    </w:p>
    <w:tbl>
      <w:tblPr>
        <w:tblStyle w:val="PlainTable3"/>
        <w:tblW w:w="5245" w:type="pct"/>
        <w:jc w:val="center"/>
        <w:tblLayout w:type="fixed"/>
        <w:tblLook w:val="04A0" w:firstRow="1" w:lastRow="0" w:firstColumn="1" w:lastColumn="0" w:noHBand="0" w:noVBand="1"/>
      </w:tblPr>
      <w:tblGrid>
        <w:gridCol w:w="1891"/>
        <w:gridCol w:w="990"/>
        <w:gridCol w:w="3239"/>
        <w:gridCol w:w="988"/>
        <w:gridCol w:w="1448"/>
        <w:gridCol w:w="909"/>
      </w:tblGrid>
      <w:tr w:rsidR="001A7FFD" w:rsidRPr="003C206F" w14:paraId="4099DACA" w14:textId="77777777" w:rsidTr="005A5556">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noWrap/>
            <w:vAlign w:val="center"/>
            <w:hideMark/>
          </w:tcPr>
          <w:p w14:paraId="714A0B21" w14:textId="0C29F945" w:rsidR="001A7FFD" w:rsidRPr="00330CDF" w:rsidRDefault="001A7FFD" w:rsidP="005A5556">
            <w:pPr>
              <w:pStyle w:val="KSASubHead1-Blue"/>
              <w:rPr>
                <w:rFonts w:ascii="Roboto" w:hAnsi="Roboto"/>
                <w:color w:val="404040" w:themeColor="text1" w:themeTint="BF"/>
                <w:sz w:val="21"/>
                <w:szCs w:val="21"/>
              </w:rPr>
            </w:pPr>
            <w:r w:rsidRPr="00330CDF">
              <w:rPr>
                <w:rFonts w:ascii="Roboto" w:hAnsi="Roboto"/>
                <w:color w:val="404040" w:themeColor="text1" w:themeTint="BF"/>
                <w:sz w:val="21"/>
                <w:szCs w:val="21"/>
              </w:rPr>
              <w:lastRenderedPageBreak/>
              <w:t xml:space="preserve">table C.2 results matrix for </w:t>
            </w:r>
            <w:r w:rsidR="00E719CA" w:rsidRPr="00330CDF">
              <w:rPr>
                <w:rFonts w:ascii="Roboto" w:hAnsi="Roboto"/>
                <w:color w:val="404040" w:themeColor="text1" w:themeTint="BF"/>
                <w:sz w:val="21"/>
                <w:szCs w:val="21"/>
              </w:rPr>
              <w:t xml:space="preserve">the </w:t>
            </w:r>
            <w:r w:rsidR="00E719CA" w:rsidRPr="00B96A3F">
              <w:rPr>
                <w:rFonts w:ascii="Roboto" w:hAnsi="Roboto"/>
                <w:color w:val="404040" w:themeColor="text1" w:themeTint="BF"/>
                <w:sz w:val="21"/>
                <w:szCs w:val="21"/>
              </w:rPr>
              <w:t xml:space="preserve">KSA’s </w:t>
            </w:r>
            <w:r w:rsidRPr="00330CDF">
              <w:rPr>
                <w:rFonts w:ascii="Roboto" w:hAnsi="Roboto"/>
                <w:color w:val="404040" w:themeColor="text1" w:themeTint="BF"/>
                <w:sz w:val="21"/>
                <w:szCs w:val="21"/>
              </w:rPr>
              <w:t>Vision 2030 Pillar 1, overarching Objectives 1 &amp; 2</w:t>
            </w:r>
          </w:p>
        </w:tc>
      </w:tr>
      <w:tr w:rsidR="001A7FFD" w:rsidRPr="003C206F" w14:paraId="1ADE8CEF" w14:textId="77777777" w:rsidTr="005A5556">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noWrap/>
            <w:vAlign w:val="center"/>
            <w:hideMark/>
          </w:tcPr>
          <w:p w14:paraId="696B3D24" w14:textId="77777777" w:rsidR="001A7FFD" w:rsidRPr="00422377" w:rsidRDefault="001A7FFD" w:rsidP="005A5556">
            <w:pPr>
              <w:jc w:val="cente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SDGs:</w:t>
            </w:r>
          </w:p>
        </w:tc>
        <w:tc>
          <w:tcPr>
            <w:tcW w:w="4001" w:type="pct"/>
            <w:gridSpan w:val="5"/>
            <w:tcBorders>
              <w:right w:val="single" w:sz="2" w:space="0" w:color="000000" w:themeColor="text1"/>
            </w:tcBorders>
            <w:vAlign w:val="center"/>
            <w:hideMark/>
          </w:tcPr>
          <w:p w14:paraId="52156C0A"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1, 2, 3, 4, 5, 7, 8, 9, 10, 11, 12, 13, 14, 15, 16</w:t>
            </w:r>
          </w:p>
        </w:tc>
      </w:tr>
      <w:tr w:rsidR="001A7FFD" w:rsidRPr="003C206F" w14:paraId="6ED7C618" w14:textId="77777777" w:rsidTr="005A5556">
        <w:trPr>
          <w:trHeight w:val="43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66D1635F" w14:textId="77777777" w:rsidR="001A7FFD" w:rsidRPr="00422377" w:rsidRDefault="001A7FFD" w:rsidP="005A5556">
            <w:pPr>
              <w:jc w:val="cente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Vision Level 2:</w:t>
            </w:r>
          </w:p>
        </w:tc>
        <w:tc>
          <w:tcPr>
            <w:tcW w:w="523" w:type="pct"/>
            <w:noWrap/>
            <w:vAlign w:val="center"/>
            <w:hideMark/>
          </w:tcPr>
          <w:p w14:paraId="09DE1659"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AFPs</w:t>
            </w:r>
          </w:p>
        </w:tc>
        <w:tc>
          <w:tcPr>
            <w:tcW w:w="1711" w:type="pct"/>
            <w:noWrap/>
            <w:vAlign w:val="center"/>
            <w:hideMark/>
          </w:tcPr>
          <w:p w14:paraId="280BF7DA"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Partner(s)</w:t>
            </w:r>
          </w:p>
        </w:tc>
        <w:tc>
          <w:tcPr>
            <w:tcW w:w="522" w:type="pct"/>
            <w:vAlign w:val="center"/>
            <w:hideMark/>
          </w:tcPr>
          <w:p w14:paraId="6E301D6A"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Number of Activities</w:t>
            </w:r>
          </w:p>
        </w:tc>
        <w:tc>
          <w:tcPr>
            <w:tcW w:w="765" w:type="pct"/>
            <w:vAlign w:val="center"/>
            <w:hideMark/>
          </w:tcPr>
          <w:p w14:paraId="46E566B1"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Total Estimated Cost</w:t>
            </w:r>
          </w:p>
        </w:tc>
        <w:tc>
          <w:tcPr>
            <w:tcW w:w="480" w:type="pct"/>
            <w:tcBorders>
              <w:right w:val="single" w:sz="2" w:space="0" w:color="000000" w:themeColor="text1"/>
            </w:tcBorders>
            <w:vAlign w:val="center"/>
            <w:hideMark/>
          </w:tcPr>
          <w:p w14:paraId="69A15F7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SDGs</w:t>
            </w:r>
          </w:p>
        </w:tc>
      </w:tr>
      <w:tr w:rsidR="001A7FFD" w:rsidRPr="003C206F" w14:paraId="7FFAFF6D" w14:textId="77777777" w:rsidTr="005A5556">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66D78891"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1.1 Foster Islamic values</w:t>
            </w:r>
          </w:p>
        </w:tc>
        <w:tc>
          <w:tcPr>
            <w:tcW w:w="523" w:type="pct"/>
            <w:vAlign w:val="center"/>
            <w:hideMark/>
          </w:tcPr>
          <w:p w14:paraId="759F1AA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OHCHR, UNODC</w:t>
            </w:r>
          </w:p>
        </w:tc>
        <w:tc>
          <w:tcPr>
            <w:tcW w:w="1711" w:type="pct"/>
            <w:vAlign w:val="center"/>
            <w:hideMark/>
          </w:tcPr>
          <w:p w14:paraId="73CDB1A2"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Human Resources and Social Development, Ministry of Justice, Saudi Human Rights Commission, Naif Arab University for Security Sciences, The Public Prosecution, &amp; Mohammed bin Nayef Counseling and Care Center</w:t>
            </w:r>
          </w:p>
          <w:p w14:paraId="35248C90"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522" w:type="pct"/>
            <w:vAlign w:val="center"/>
            <w:hideMark/>
          </w:tcPr>
          <w:p w14:paraId="56313BC4"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w:t>
            </w:r>
          </w:p>
        </w:tc>
        <w:tc>
          <w:tcPr>
            <w:tcW w:w="765" w:type="pct"/>
            <w:vAlign w:val="center"/>
            <w:hideMark/>
          </w:tcPr>
          <w:p w14:paraId="39CEA4AC"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$2,449,463</w:t>
            </w:r>
          </w:p>
        </w:tc>
        <w:tc>
          <w:tcPr>
            <w:tcW w:w="480" w:type="pct"/>
            <w:tcBorders>
              <w:right w:val="single" w:sz="2" w:space="0" w:color="000000" w:themeColor="text1"/>
            </w:tcBorders>
            <w:vAlign w:val="center"/>
            <w:hideMark/>
          </w:tcPr>
          <w:p w14:paraId="4790257D"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10, 16</w:t>
            </w:r>
          </w:p>
        </w:tc>
      </w:tr>
      <w:tr w:rsidR="001A7FFD" w:rsidRPr="003C206F" w14:paraId="79CB136D" w14:textId="77777777" w:rsidTr="005A5556">
        <w:trPr>
          <w:trHeight w:val="29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5B2602B0"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1.3 Strengthen national identity</w:t>
            </w:r>
          </w:p>
        </w:tc>
        <w:tc>
          <w:tcPr>
            <w:tcW w:w="523" w:type="pct"/>
            <w:vAlign w:val="center"/>
            <w:hideMark/>
          </w:tcPr>
          <w:p w14:paraId="5C421126"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UNDP, UNESCO, UNODC</w:t>
            </w:r>
          </w:p>
        </w:tc>
        <w:tc>
          <w:tcPr>
            <w:tcW w:w="1711" w:type="pct"/>
            <w:vAlign w:val="center"/>
            <w:hideMark/>
          </w:tcPr>
          <w:p w14:paraId="6D98B844" w14:textId="77777777" w:rsidR="001A7FFD" w:rsidRPr="00422377" w:rsidRDefault="001A7FFD"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Education, Royal Commission for AlUla, Sultan bin Abdulaziz Al Saud Foundation, &amp; King Abdulaziz Center for National Dialogue</w:t>
            </w:r>
          </w:p>
          <w:p w14:paraId="16E20443" w14:textId="77777777" w:rsidR="001A7FFD" w:rsidRPr="00422377" w:rsidRDefault="001A7FFD"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22" w:type="pct"/>
            <w:vAlign w:val="center"/>
            <w:hideMark/>
          </w:tcPr>
          <w:p w14:paraId="77CA460B"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w:t>
            </w:r>
          </w:p>
        </w:tc>
        <w:tc>
          <w:tcPr>
            <w:tcW w:w="765" w:type="pct"/>
            <w:vAlign w:val="center"/>
            <w:hideMark/>
          </w:tcPr>
          <w:p w14:paraId="25EE0DAE"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$7,590,000</w:t>
            </w:r>
          </w:p>
        </w:tc>
        <w:tc>
          <w:tcPr>
            <w:tcW w:w="480" w:type="pct"/>
            <w:tcBorders>
              <w:right w:val="single" w:sz="2" w:space="0" w:color="000000" w:themeColor="text1"/>
            </w:tcBorders>
            <w:vAlign w:val="center"/>
            <w:hideMark/>
          </w:tcPr>
          <w:p w14:paraId="388FA57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4, 5, 8, 11</w:t>
            </w:r>
          </w:p>
        </w:tc>
      </w:tr>
      <w:tr w:rsidR="001A7FFD" w:rsidRPr="003C206F" w14:paraId="4CC5C048" w14:textId="77777777" w:rsidTr="005A5556">
        <w:trPr>
          <w:cnfStyle w:val="000000100000" w:firstRow="0" w:lastRow="0" w:firstColumn="0" w:lastColumn="0" w:oddVBand="0" w:evenVBand="0" w:oddHBand="1"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7EB536F4"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2.1 Improve healthcare service</w:t>
            </w:r>
          </w:p>
        </w:tc>
        <w:tc>
          <w:tcPr>
            <w:tcW w:w="523" w:type="pct"/>
            <w:vAlign w:val="center"/>
            <w:hideMark/>
          </w:tcPr>
          <w:p w14:paraId="090A204F"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ILO, OHCHR, UNDP, UNFPA, UNHCR, UNICEF, WHO</w:t>
            </w:r>
          </w:p>
        </w:tc>
        <w:tc>
          <w:tcPr>
            <w:tcW w:w="1711" w:type="pct"/>
            <w:vAlign w:val="center"/>
            <w:hideMark/>
          </w:tcPr>
          <w:p w14:paraId="64863F4E"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Health, Family Affairs Council, Saudi Food and Drug Authority, Ministry of Human Resources and Social Development, Ministry of Education, National Committee for Mental Health Promotion, Saudi Human Rights Commission, General Authority for Statistics, Ministry of Foreign Affairs, Saudi Health Council</w:t>
            </w:r>
          </w:p>
          <w:p w14:paraId="0D376D8E"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522" w:type="pct"/>
            <w:vAlign w:val="center"/>
            <w:hideMark/>
          </w:tcPr>
          <w:p w14:paraId="22728860"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32</w:t>
            </w:r>
          </w:p>
        </w:tc>
        <w:tc>
          <w:tcPr>
            <w:tcW w:w="765" w:type="pct"/>
            <w:vAlign w:val="center"/>
            <w:hideMark/>
          </w:tcPr>
          <w:p w14:paraId="1EE68FA9"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$18,934,462*</w:t>
            </w:r>
          </w:p>
        </w:tc>
        <w:tc>
          <w:tcPr>
            <w:tcW w:w="480" w:type="pct"/>
            <w:tcBorders>
              <w:right w:val="single" w:sz="2" w:space="0" w:color="000000" w:themeColor="text1"/>
            </w:tcBorders>
            <w:vAlign w:val="center"/>
            <w:hideMark/>
          </w:tcPr>
          <w:p w14:paraId="0E22167F"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2, 3, 10</w:t>
            </w:r>
          </w:p>
        </w:tc>
      </w:tr>
      <w:tr w:rsidR="001A7FFD" w:rsidRPr="003C206F" w14:paraId="1482B38B" w14:textId="77777777" w:rsidTr="005A5556">
        <w:trPr>
          <w:trHeight w:val="89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596E6232"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2.3 Improve livability in Saudi cities</w:t>
            </w:r>
          </w:p>
        </w:tc>
        <w:tc>
          <w:tcPr>
            <w:tcW w:w="523" w:type="pct"/>
            <w:vAlign w:val="center"/>
            <w:hideMark/>
          </w:tcPr>
          <w:p w14:paraId="7ABA0269"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w:t>
            </w:r>
            <w:r w:rsidRPr="00645128">
              <w:rPr>
                <w:rFonts w:ascii="Roboto" w:hAnsi="Roboto" w:cs="Calibri"/>
                <w:b/>
                <w:color w:val="404040" w:themeColor="text1" w:themeTint="BF"/>
                <w:sz w:val="18"/>
                <w:szCs w:val="18"/>
                <w:lang w:val="en-GB"/>
              </w:rPr>
              <w:t>Habitat</w:t>
            </w:r>
            <w:r w:rsidRPr="00422377">
              <w:rPr>
                <w:rFonts w:ascii="Roboto" w:hAnsi="Roboto" w:cs="Calibri"/>
                <w:b/>
                <w:color w:val="404040" w:themeColor="text1" w:themeTint="BF"/>
                <w:sz w:val="18"/>
                <w:szCs w:val="18"/>
                <w:lang w:val="en-GB"/>
              </w:rPr>
              <w:t>, UNICEF, UNODC</w:t>
            </w:r>
          </w:p>
        </w:tc>
        <w:tc>
          <w:tcPr>
            <w:tcW w:w="1711" w:type="pct"/>
            <w:vAlign w:val="center"/>
            <w:hideMark/>
          </w:tcPr>
          <w:p w14:paraId="4CFB65B6" w14:textId="77777777" w:rsidR="001A7FFD" w:rsidRPr="00422377" w:rsidRDefault="001A7FFD"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Municipal, Rural Affairs, and Housing, Ministry of Interior, National Committee for Narcotics Control, Ministry of Foreign Affairs, Ministry of Health, Ministry of Human Resources and Social Development, Ministry of Economy and Planning, Ministry of Education, Ministry of Tourism, General Authority for Statistics, Royal Commission for AlUla, Quality of Life Program</w:t>
            </w:r>
          </w:p>
          <w:p w14:paraId="6379E2CA" w14:textId="77777777" w:rsidR="001A7FFD" w:rsidRPr="00422377" w:rsidRDefault="001A7FFD"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22" w:type="pct"/>
            <w:vAlign w:val="center"/>
            <w:hideMark/>
          </w:tcPr>
          <w:p w14:paraId="55FE39E5"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12</w:t>
            </w:r>
          </w:p>
        </w:tc>
        <w:tc>
          <w:tcPr>
            <w:tcW w:w="765" w:type="pct"/>
            <w:vAlign w:val="center"/>
            <w:hideMark/>
          </w:tcPr>
          <w:p w14:paraId="14FFF038"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$32,800,000</w:t>
            </w:r>
          </w:p>
        </w:tc>
        <w:tc>
          <w:tcPr>
            <w:tcW w:w="480" w:type="pct"/>
            <w:tcBorders>
              <w:right w:val="single" w:sz="2" w:space="0" w:color="000000" w:themeColor="text1"/>
            </w:tcBorders>
            <w:vAlign w:val="center"/>
            <w:hideMark/>
          </w:tcPr>
          <w:p w14:paraId="39AF48A5"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1, 3, 11, 12, 16</w:t>
            </w:r>
          </w:p>
        </w:tc>
      </w:tr>
      <w:tr w:rsidR="001A7FFD" w:rsidRPr="003C206F" w14:paraId="1280D6A5" w14:textId="77777777" w:rsidTr="005A5556">
        <w:trPr>
          <w:cnfStyle w:val="000000100000" w:firstRow="0" w:lastRow="0" w:firstColumn="0" w:lastColumn="0" w:oddVBand="0" w:evenVBand="0" w:oddHBand="1" w:evenHBand="0" w:firstRowFirstColumn="0" w:firstRowLastColumn="0" w:lastRowFirstColumn="0" w:lastRowLastColumn="0"/>
          <w:trHeight w:val="1198"/>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752E878D"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2.4 Ensure environmental sustainability</w:t>
            </w:r>
          </w:p>
        </w:tc>
        <w:tc>
          <w:tcPr>
            <w:tcW w:w="523" w:type="pct"/>
            <w:vAlign w:val="center"/>
            <w:hideMark/>
          </w:tcPr>
          <w:p w14:paraId="151324EF" w14:textId="77777777" w:rsidR="001A7FFD" w:rsidRPr="004505D1"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fr-FR"/>
              </w:rPr>
            </w:pPr>
            <w:r w:rsidRPr="004505D1">
              <w:rPr>
                <w:rFonts w:ascii="Roboto" w:hAnsi="Roboto" w:cs="Calibri"/>
                <w:b/>
                <w:color w:val="404040" w:themeColor="text1" w:themeTint="BF"/>
                <w:sz w:val="18"/>
                <w:szCs w:val="18"/>
                <w:lang w:val="fr-FR"/>
              </w:rPr>
              <w:t>FAO, UN-Habitat, UNDP, UNEP, UNESCO, UNIDO</w:t>
            </w:r>
          </w:p>
        </w:tc>
        <w:tc>
          <w:tcPr>
            <w:tcW w:w="1711" w:type="pct"/>
            <w:vAlign w:val="center"/>
            <w:hideMark/>
          </w:tcPr>
          <w:p w14:paraId="1A7CB048"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Environment, Water, and Agriculture, Ministry of Municipal, Rural Affairs, and Housing, National Center of Wildlife, National Center for Environmental Compliance, Ministry of Energy, Ministry of Transportation, Electricity &amp; Cogeneration Regulatory Authority, Saudi Energy Efficiency Center, King Abdullah City for Atomic and Renewable Energy, Saudi Electricity Company, Presidency of Meteorology and Environment, Saudi Heritage Preservation Society, Saudi Green Initiative</w:t>
            </w:r>
          </w:p>
        </w:tc>
        <w:tc>
          <w:tcPr>
            <w:tcW w:w="522" w:type="pct"/>
            <w:vAlign w:val="center"/>
            <w:hideMark/>
          </w:tcPr>
          <w:p w14:paraId="3C836A43"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25</w:t>
            </w:r>
          </w:p>
        </w:tc>
        <w:tc>
          <w:tcPr>
            <w:tcW w:w="765" w:type="pct"/>
            <w:vAlign w:val="center"/>
            <w:hideMark/>
          </w:tcPr>
          <w:p w14:paraId="18905759"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$97,339,465</w:t>
            </w:r>
          </w:p>
        </w:tc>
        <w:tc>
          <w:tcPr>
            <w:tcW w:w="480" w:type="pct"/>
            <w:tcBorders>
              <w:right w:val="single" w:sz="2" w:space="0" w:color="000000" w:themeColor="text1"/>
            </w:tcBorders>
            <w:vAlign w:val="center"/>
            <w:hideMark/>
          </w:tcPr>
          <w:p w14:paraId="74739DFD"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2, 3, 7, 9, 11, 12, 13, 14, 15</w:t>
            </w:r>
          </w:p>
        </w:tc>
      </w:tr>
      <w:tr w:rsidR="001A7FFD" w:rsidRPr="003C206F" w14:paraId="7A1EB1C4" w14:textId="77777777" w:rsidTr="005A5556">
        <w:trPr>
          <w:trHeight w:val="29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73B7226C"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2.5 Promote Culture and Entertainment</w:t>
            </w:r>
          </w:p>
        </w:tc>
        <w:tc>
          <w:tcPr>
            <w:tcW w:w="523" w:type="pct"/>
            <w:vAlign w:val="center"/>
            <w:hideMark/>
          </w:tcPr>
          <w:p w14:paraId="53B08910"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UNESCO</w:t>
            </w:r>
          </w:p>
        </w:tc>
        <w:tc>
          <w:tcPr>
            <w:tcW w:w="1711" w:type="pct"/>
            <w:noWrap/>
            <w:vAlign w:val="center"/>
            <w:hideMark/>
          </w:tcPr>
          <w:p w14:paraId="36870028" w14:textId="77777777" w:rsidR="001A7FFD" w:rsidRPr="00422377" w:rsidRDefault="001A7FFD" w:rsidP="005A5556">
            <w:pPr>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Culture</w:t>
            </w:r>
          </w:p>
        </w:tc>
        <w:tc>
          <w:tcPr>
            <w:tcW w:w="522" w:type="pct"/>
            <w:vAlign w:val="center"/>
            <w:hideMark/>
          </w:tcPr>
          <w:p w14:paraId="741DD419"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w:t>
            </w:r>
          </w:p>
        </w:tc>
        <w:tc>
          <w:tcPr>
            <w:tcW w:w="765" w:type="pct"/>
            <w:vAlign w:val="center"/>
            <w:hideMark/>
          </w:tcPr>
          <w:p w14:paraId="375EAD8E"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$25,000,000</w:t>
            </w:r>
          </w:p>
        </w:tc>
        <w:tc>
          <w:tcPr>
            <w:tcW w:w="480" w:type="pct"/>
            <w:tcBorders>
              <w:right w:val="single" w:sz="2" w:space="0" w:color="000000" w:themeColor="text1"/>
            </w:tcBorders>
            <w:vAlign w:val="center"/>
            <w:hideMark/>
          </w:tcPr>
          <w:p w14:paraId="4634FEC5"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4, 8, 11</w:t>
            </w:r>
          </w:p>
        </w:tc>
      </w:tr>
      <w:tr w:rsidR="001A7FFD" w:rsidRPr="003C206F" w14:paraId="4748D7FE" w14:textId="77777777" w:rsidTr="005A5556">
        <w:trPr>
          <w:cnfStyle w:val="000000100000" w:firstRow="0" w:lastRow="0" w:firstColumn="0" w:lastColumn="0" w:oddVBand="0" w:evenVBand="0" w:oddHBand="1"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tcBorders>
            <w:vAlign w:val="center"/>
            <w:hideMark/>
          </w:tcPr>
          <w:p w14:paraId="0696A31E"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2.6 Create an empowering environment for Saudis</w:t>
            </w:r>
          </w:p>
        </w:tc>
        <w:tc>
          <w:tcPr>
            <w:tcW w:w="523" w:type="pct"/>
            <w:vAlign w:val="center"/>
            <w:hideMark/>
          </w:tcPr>
          <w:p w14:paraId="5BFC7390" w14:textId="77777777" w:rsidR="001A7FFD" w:rsidRPr="004505D1"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fr-FR"/>
              </w:rPr>
            </w:pPr>
            <w:r w:rsidRPr="004505D1">
              <w:rPr>
                <w:rFonts w:ascii="Roboto" w:hAnsi="Roboto" w:cs="Calibri"/>
                <w:b/>
                <w:color w:val="404040" w:themeColor="text1" w:themeTint="BF"/>
                <w:sz w:val="18"/>
                <w:szCs w:val="18"/>
                <w:lang w:val="fr-FR"/>
              </w:rPr>
              <w:t>ILO, UN-Habitat, UNICEF, UNODC</w:t>
            </w:r>
          </w:p>
        </w:tc>
        <w:tc>
          <w:tcPr>
            <w:tcW w:w="1711" w:type="pct"/>
            <w:vAlign w:val="center"/>
            <w:hideMark/>
          </w:tcPr>
          <w:p w14:paraId="7EEA47F4" w14:textId="77777777" w:rsidR="001A7FFD" w:rsidRPr="00422377" w:rsidRDefault="001A7FFD" w:rsidP="005A5556">
            <w:pPr>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 xml:space="preserve">Family Affairs Council, Ministry of Human Resources and Social Development, Ministry of Interior, Ministry of Education, Ministry of Municipal, Rural Affairs, and Housing, Ministry of Justice, Ministry of </w:t>
            </w:r>
            <w:r w:rsidRPr="00422377">
              <w:rPr>
                <w:rFonts w:ascii="Roboto" w:hAnsi="Roboto" w:cs="Calibri"/>
                <w:b/>
                <w:color w:val="404040" w:themeColor="text1" w:themeTint="BF"/>
                <w:sz w:val="18"/>
                <w:szCs w:val="18"/>
                <w:lang w:val="en-GB"/>
              </w:rPr>
              <w:lastRenderedPageBreak/>
              <w:t>Sports, General Authority for Statistics, The Public Prosecution</w:t>
            </w:r>
          </w:p>
        </w:tc>
        <w:tc>
          <w:tcPr>
            <w:tcW w:w="522" w:type="pct"/>
            <w:vAlign w:val="center"/>
            <w:hideMark/>
          </w:tcPr>
          <w:p w14:paraId="7CD76A60"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lastRenderedPageBreak/>
              <w:t>16</w:t>
            </w:r>
          </w:p>
        </w:tc>
        <w:tc>
          <w:tcPr>
            <w:tcW w:w="765" w:type="pct"/>
            <w:vAlign w:val="center"/>
            <w:hideMark/>
          </w:tcPr>
          <w:p w14:paraId="6F18E620"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$7,655,000</w:t>
            </w:r>
          </w:p>
        </w:tc>
        <w:tc>
          <w:tcPr>
            <w:tcW w:w="480" w:type="pct"/>
            <w:tcBorders>
              <w:right w:val="single" w:sz="2" w:space="0" w:color="000000" w:themeColor="text1"/>
            </w:tcBorders>
            <w:vAlign w:val="center"/>
            <w:hideMark/>
          </w:tcPr>
          <w:p w14:paraId="29414034"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1, 3, 4, 8, 10, 11, 16</w:t>
            </w:r>
          </w:p>
        </w:tc>
      </w:tr>
      <w:tr w:rsidR="001A7FFD" w:rsidRPr="003C206F" w14:paraId="2997D0D2" w14:textId="77777777" w:rsidTr="005A5556">
        <w:trPr>
          <w:trHeight w:val="158"/>
          <w:jc w:val="center"/>
        </w:trPr>
        <w:tc>
          <w:tcPr>
            <w:cnfStyle w:val="001000000000" w:firstRow="0" w:lastRow="0" w:firstColumn="1" w:lastColumn="0" w:oddVBand="0" w:evenVBand="0" w:oddHBand="0" w:evenHBand="0" w:firstRowFirstColumn="0" w:firstRowLastColumn="0" w:lastRowFirstColumn="0" w:lastRowLastColumn="0"/>
            <w:tcW w:w="999" w:type="pct"/>
            <w:tcBorders>
              <w:left w:val="single" w:sz="2" w:space="0" w:color="000000" w:themeColor="text1"/>
              <w:bottom w:val="single" w:sz="2" w:space="0" w:color="000000" w:themeColor="text1"/>
            </w:tcBorders>
            <w:vAlign w:val="center"/>
            <w:hideMark/>
          </w:tcPr>
          <w:p w14:paraId="50930197" w14:textId="77777777" w:rsidR="001A7FFD" w:rsidRPr="00422377" w:rsidRDefault="001A7FFD" w:rsidP="005A5556">
            <w:pPr>
              <w:jc w:val="cente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Total</w:t>
            </w:r>
          </w:p>
        </w:tc>
        <w:tc>
          <w:tcPr>
            <w:tcW w:w="523" w:type="pct"/>
            <w:tcBorders>
              <w:bottom w:val="single" w:sz="2" w:space="0" w:color="000000" w:themeColor="text1"/>
            </w:tcBorders>
            <w:noWrap/>
            <w:vAlign w:val="center"/>
            <w:hideMark/>
          </w:tcPr>
          <w:p w14:paraId="32B0E149"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c>
          <w:tcPr>
            <w:tcW w:w="1711" w:type="pct"/>
            <w:tcBorders>
              <w:bottom w:val="single" w:sz="2" w:space="0" w:color="000000" w:themeColor="text1"/>
            </w:tcBorders>
            <w:noWrap/>
            <w:vAlign w:val="center"/>
            <w:hideMark/>
          </w:tcPr>
          <w:p w14:paraId="46BF88C8"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c>
          <w:tcPr>
            <w:tcW w:w="522" w:type="pct"/>
            <w:tcBorders>
              <w:bottom w:val="single" w:sz="2" w:space="0" w:color="000000" w:themeColor="text1"/>
            </w:tcBorders>
            <w:noWrap/>
            <w:vAlign w:val="center"/>
            <w:hideMark/>
          </w:tcPr>
          <w:p w14:paraId="3CEF43A3"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92</w:t>
            </w:r>
          </w:p>
        </w:tc>
        <w:tc>
          <w:tcPr>
            <w:tcW w:w="765" w:type="pct"/>
            <w:tcBorders>
              <w:bottom w:val="single" w:sz="2" w:space="0" w:color="000000" w:themeColor="text1"/>
            </w:tcBorders>
            <w:noWrap/>
            <w:vAlign w:val="center"/>
            <w:hideMark/>
          </w:tcPr>
          <w:p w14:paraId="42029C08"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$191,768,390*</w:t>
            </w:r>
          </w:p>
        </w:tc>
        <w:tc>
          <w:tcPr>
            <w:tcW w:w="480" w:type="pct"/>
            <w:tcBorders>
              <w:bottom w:val="single" w:sz="2" w:space="0" w:color="000000" w:themeColor="text1"/>
              <w:right w:val="single" w:sz="2" w:space="0" w:color="000000" w:themeColor="text1"/>
            </w:tcBorders>
            <w:noWrap/>
            <w:vAlign w:val="center"/>
            <w:hideMark/>
          </w:tcPr>
          <w:p w14:paraId="7928B43F"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r>
    </w:tbl>
    <w:p w14:paraId="4032CC8D"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77DE02E7" w14:textId="6A3834D4"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In terms of Pillar 1 of the KSA’s Vision 2030, there are 92 activities at the UN level slated for the 2022 to 2026 period that total an estimated cost of $191,768,390. The highest proportion of UN activities within Pillar 1 falls under </w:t>
      </w:r>
      <w:r w:rsidR="00E719CA">
        <w:rPr>
          <w:rFonts w:ascii="Roboto" w:hAnsi="Roboto"/>
          <w:color w:val="404040" w:themeColor="text1" w:themeTint="BF"/>
          <w:sz w:val="21"/>
          <w:szCs w:val="21"/>
          <w:lang w:val="en-GB"/>
        </w:rPr>
        <w:t xml:space="preserve">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2030’s 2.1 Improve Healthcare Service, which is associated with 32 activities (35% of Pillar 1’s total). The largest financial commitment is poised to be associated with 2.4 Ensure Environmental Sustainability, the activities of which have a total estimated cost of $97,339,465 (51% of Pillar 1’s total). </w:t>
      </w:r>
    </w:p>
    <w:p w14:paraId="1B225547"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0F2E33ED" w14:textId="730B536B"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Fourteen AFPs have joined forces with 37 Saudi partner organizations to tackle the challenges pertinent to this domain. The most active AFPs across the UN activities in Pillar 1 are UN-</w:t>
      </w:r>
      <w:r w:rsidRPr="00645128">
        <w:rPr>
          <w:rFonts w:ascii="Roboto" w:hAnsi="Roboto"/>
          <w:color w:val="404040" w:themeColor="text1" w:themeTint="BF"/>
          <w:sz w:val="21"/>
          <w:szCs w:val="21"/>
          <w:lang w:val="en-GB"/>
        </w:rPr>
        <w:t>Habitat</w:t>
      </w:r>
      <w:r w:rsidRPr="003C206F">
        <w:rPr>
          <w:rFonts w:ascii="Roboto" w:hAnsi="Roboto"/>
          <w:color w:val="404040" w:themeColor="text1" w:themeTint="BF"/>
          <w:sz w:val="21"/>
          <w:szCs w:val="21"/>
          <w:lang w:val="en-GB"/>
        </w:rPr>
        <w:t xml:space="preserve">, UNICEF, UNESCO, and UNODC, all of which are involved in activities </w:t>
      </w:r>
      <w:r>
        <w:rPr>
          <w:rFonts w:ascii="Roboto" w:hAnsi="Roboto"/>
          <w:color w:val="404040" w:themeColor="text1" w:themeTint="BF"/>
          <w:sz w:val="21"/>
          <w:szCs w:val="21"/>
          <w:lang w:val="en-GB"/>
        </w:rPr>
        <w:t>that span</w:t>
      </w:r>
      <w:r w:rsidRPr="003C206F">
        <w:rPr>
          <w:rFonts w:ascii="Roboto" w:hAnsi="Roboto"/>
          <w:color w:val="404040" w:themeColor="text1" w:themeTint="BF"/>
          <w:sz w:val="21"/>
          <w:szCs w:val="21"/>
          <w:lang w:val="en-GB"/>
        </w:rPr>
        <w:t xml:space="preserve"> three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3C206F">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The most active Saudi partner organizations in Pillar 1 are the Ministry of Resources and Social Development and the Ministry of Education, both of which span four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3C206F">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w:t>
      </w:r>
    </w:p>
    <w:p w14:paraId="7A8AC83C" w14:textId="77777777" w:rsidR="001A7FFD" w:rsidRDefault="001A7FFD" w:rsidP="001A7FFD">
      <w:pPr>
        <w:rPr>
          <w:rFonts w:ascii="Roboto" w:hAnsi="Roboto"/>
          <w:b/>
          <w:bCs/>
          <w:color w:val="404040" w:themeColor="text1" w:themeTint="BF"/>
          <w:lang w:val="en-GB"/>
        </w:rPr>
      </w:pPr>
      <w:r>
        <w:rPr>
          <w:rFonts w:ascii="Roboto" w:hAnsi="Roboto"/>
          <w:b/>
          <w:bCs/>
          <w:color w:val="404040" w:themeColor="text1" w:themeTint="BF"/>
          <w:lang w:val="en-GB"/>
        </w:rPr>
        <w:br w:type="page"/>
      </w:r>
    </w:p>
    <w:tbl>
      <w:tblPr>
        <w:tblStyle w:val="PlainTable3"/>
        <w:tblW w:w="5144" w:type="pct"/>
        <w:jc w:val="center"/>
        <w:tblLayout w:type="fixed"/>
        <w:tblLook w:val="04A0" w:firstRow="1" w:lastRow="0" w:firstColumn="1" w:lastColumn="0" w:noHBand="0" w:noVBand="1"/>
      </w:tblPr>
      <w:tblGrid>
        <w:gridCol w:w="1618"/>
        <w:gridCol w:w="990"/>
        <w:gridCol w:w="3617"/>
        <w:gridCol w:w="991"/>
        <w:gridCol w:w="1352"/>
        <w:gridCol w:w="715"/>
      </w:tblGrid>
      <w:tr w:rsidR="001A7FFD" w:rsidRPr="003C206F" w14:paraId="1B9F1144" w14:textId="77777777" w:rsidTr="005A555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noWrap/>
            <w:vAlign w:val="center"/>
            <w:hideMark/>
          </w:tcPr>
          <w:p w14:paraId="3930AE64" w14:textId="3631F734" w:rsidR="001A7FFD" w:rsidRPr="003C206F" w:rsidRDefault="001A7FFD" w:rsidP="005A5556">
            <w:pPr>
              <w:pStyle w:val="KSASubHead1-Blue"/>
              <w:ind w:left="144"/>
              <w:jc w:val="left"/>
              <w:rPr>
                <w:rFonts w:ascii="Roboto" w:hAnsi="Roboto"/>
                <w:color w:val="404040" w:themeColor="text1" w:themeTint="BF"/>
                <w:sz w:val="22"/>
                <w:szCs w:val="22"/>
              </w:rPr>
            </w:pPr>
            <w:r w:rsidRPr="003C206F">
              <w:rPr>
                <w:rFonts w:ascii="Roboto" w:hAnsi="Roboto"/>
                <w:color w:val="404040" w:themeColor="text1" w:themeTint="BF"/>
                <w:sz w:val="22"/>
                <w:szCs w:val="22"/>
              </w:rPr>
              <w:lastRenderedPageBreak/>
              <w:t xml:space="preserve">Table </w:t>
            </w:r>
            <w:r>
              <w:rPr>
                <w:rFonts w:ascii="Roboto" w:hAnsi="Roboto"/>
                <w:color w:val="404040" w:themeColor="text1" w:themeTint="BF"/>
                <w:sz w:val="22"/>
                <w:szCs w:val="22"/>
              </w:rPr>
              <w:t>C</w:t>
            </w:r>
            <w:r w:rsidRPr="003C206F">
              <w:rPr>
                <w:rFonts w:ascii="Roboto" w:hAnsi="Roboto"/>
                <w:color w:val="404040" w:themeColor="text1" w:themeTint="BF"/>
                <w:sz w:val="22"/>
                <w:szCs w:val="22"/>
              </w:rPr>
              <w:t xml:space="preserve">.3 results matrix for </w:t>
            </w:r>
            <w:r w:rsidR="00E719CA">
              <w:rPr>
                <w:rFonts w:ascii="Roboto" w:hAnsi="Roboto"/>
                <w:color w:val="404040" w:themeColor="text1" w:themeTint="BF"/>
                <w:sz w:val="22"/>
                <w:szCs w:val="22"/>
              </w:rPr>
              <w:t xml:space="preserve">the </w:t>
            </w:r>
            <w:r w:rsidR="00E719CA">
              <w:rPr>
                <w:rFonts w:ascii="Roboto" w:hAnsi="Roboto"/>
                <w:color w:val="404040" w:themeColor="text1" w:themeTint="BF"/>
                <w:sz w:val="21"/>
                <w:szCs w:val="21"/>
              </w:rPr>
              <w:t xml:space="preserve">KSA’s </w:t>
            </w:r>
            <w:r w:rsidRPr="003C206F">
              <w:rPr>
                <w:rFonts w:ascii="Roboto" w:hAnsi="Roboto"/>
                <w:color w:val="404040" w:themeColor="text1" w:themeTint="BF"/>
                <w:sz w:val="22"/>
                <w:szCs w:val="22"/>
              </w:rPr>
              <w:t xml:space="preserve">Vision 2030 Pillar 2, </w:t>
            </w:r>
            <w:r>
              <w:rPr>
                <w:rFonts w:ascii="Roboto" w:hAnsi="Roboto"/>
                <w:color w:val="404040" w:themeColor="text1" w:themeTint="BF"/>
                <w:sz w:val="22"/>
                <w:szCs w:val="22"/>
              </w:rPr>
              <w:t xml:space="preserve">overarching </w:t>
            </w:r>
            <w:r w:rsidRPr="003C206F">
              <w:rPr>
                <w:rFonts w:ascii="Roboto" w:hAnsi="Roboto"/>
                <w:color w:val="404040" w:themeColor="text1" w:themeTint="BF"/>
                <w:sz w:val="22"/>
                <w:szCs w:val="22"/>
              </w:rPr>
              <w:t>Objective</w:t>
            </w:r>
            <w:r>
              <w:rPr>
                <w:rFonts w:ascii="Roboto" w:hAnsi="Roboto"/>
                <w:color w:val="404040" w:themeColor="text1" w:themeTint="BF"/>
                <w:sz w:val="22"/>
                <w:szCs w:val="22"/>
              </w:rPr>
              <w:t>s</w:t>
            </w:r>
            <w:r w:rsidRPr="003C206F">
              <w:rPr>
                <w:rFonts w:ascii="Roboto" w:hAnsi="Roboto"/>
                <w:color w:val="404040" w:themeColor="text1" w:themeTint="BF"/>
                <w:sz w:val="22"/>
                <w:szCs w:val="22"/>
              </w:rPr>
              <w:t xml:space="preserve"> 3 &amp; 4</w:t>
            </w:r>
          </w:p>
        </w:tc>
      </w:tr>
      <w:tr w:rsidR="001A7FFD" w:rsidRPr="003C206F" w14:paraId="1B6760B5" w14:textId="77777777" w:rsidTr="005A555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4" w:space="0" w:color="auto"/>
            </w:tcBorders>
            <w:vAlign w:val="center"/>
          </w:tcPr>
          <w:p w14:paraId="40661680" w14:textId="77777777" w:rsidR="001A7FFD" w:rsidRPr="003C206F" w:rsidRDefault="001A7FFD" w:rsidP="005A5556">
            <w:pPr>
              <w:jc w:val="center"/>
              <w:rPr>
                <w:rFonts w:ascii="Roboto" w:hAnsi="Roboto" w:cs="Calibri"/>
                <w:color w:val="404040" w:themeColor="text1" w:themeTint="BF"/>
                <w:sz w:val="18"/>
                <w:szCs w:val="18"/>
                <w:lang w:val="en-GB"/>
              </w:rPr>
            </w:pPr>
            <w:r w:rsidRPr="003C206F">
              <w:rPr>
                <w:rFonts w:ascii="Roboto" w:hAnsi="Roboto" w:cs="Calibri"/>
                <w:color w:val="404040" w:themeColor="text1" w:themeTint="BF"/>
                <w:sz w:val="18"/>
                <w:szCs w:val="18"/>
                <w:lang w:val="en-GB"/>
              </w:rPr>
              <w:t>SDGs:</w:t>
            </w:r>
          </w:p>
        </w:tc>
        <w:tc>
          <w:tcPr>
            <w:tcW w:w="533" w:type="pct"/>
            <w:vAlign w:val="center"/>
          </w:tcPr>
          <w:p w14:paraId="2779FA34"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1948" w:type="pct"/>
            <w:vAlign w:val="center"/>
          </w:tcPr>
          <w:p w14:paraId="0D805E3B" w14:textId="77777777" w:rsidR="001A7FFD" w:rsidRPr="003C206F" w:rsidRDefault="001A7FFD" w:rsidP="005A5556">
            <w:pPr>
              <w:jc w:val="right"/>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1, 3, 4, 5, 8, 9, 10, 11, 16, 17</w:t>
            </w:r>
          </w:p>
        </w:tc>
        <w:tc>
          <w:tcPr>
            <w:tcW w:w="534" w:type="pct"/>
            <w:vAlign w:val="center"/>
          </w:tcPr>
          <w:p w14:paraId="10ABBFE6"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728" w:type="pct"/>
            <w:vAlign w:val="center"/>
          </w:tcPr>
          <w:p w14:paraId="27ED9274"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385" w:type="pct"/>
            <w:tcBorders>
              <w:right w:val="single" w:sz="4" w:space="0" w:color="auto"/>
            </w:tcBorders>
            <w:vAlign w:val="center"/>
          </w:tcPr>
          <w:p w14:paraId="601832F2"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r>
      <w:tr w:rsidR="001A7FFD" w:rsidRPr="003C206F" w14:paraId="65718EA1" w14:textId="77777777" w:rsidTr="005A5556">
        <w:trPr>
          <w:trHeight w:val="66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67F5BDB8" w14:textId="77777777" w:rsidR="001A7FFD" w:rsidRPr="003C206F" w:rsidRDefault="001A7FFD" w:rsidP="005A5556">
            <w:pPr>
              <w:jc w:val="center"/>
              <w:rPr>
                <w:rFonts w:ascii="Roboto" w:hAnsi="Roboto" w:cs="Calibri"/>
                <w:color w:val="404040" w:themeColor="text1" w:themeTint="BF"/>
                <w:sz w:val="18"/>
                <w:szCs w:val="18"/>
                <w:lang w:val="en-GB"/>
              </w:rPr>
            </w:pPr>
            <w:r w:rsidRPr="003C206F">
              <w:rPr>
                <w:rFonts w:ascii="Roboto" w:hAnsi="Roboto" w:cs="Calibri"/>
                <w:color w:val="404040" w:themeColor="text1" w:themeTint="BF"/>
                <w:sz w:val="18"/>
                <w:szCs w:val="18"/>
                <w:lang w:val="en-GB"/>
              </w:rPr>
              <w:t>Vision Level 2:</w:t>
            </w:r>
          </w:p>
        </w:tc>
        <w:tc>
          <w:tcPr>
            <w:tcW w:w="533" w:type="pct"/>
            <w:vAlign w:val="center"/>
            <w:hideMark/>
          </w:tcPr>
          <w:p w14:paraId="597C1E00"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AFPs</w:t>
            </w:r>
          </w:p>
        </w:tc>
        <w:tc>
          <w:tcPr>
            <w:tcW w:w="1948" w:type="pct"/>
            <w:vAlign w:val="center"/>
            <w:hideMark/>
          </w:tcPr>
          <w:p w14:paraId="0997BDE5"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Partner(s)</w:t>
            </w:r>
          </w:p>
        </w:tc>
        <w:tc>
          <w:tcPr>
            <w:tcW w:w="534" w:type="pct"/>
            <w:vAlign w:val="center"/>
            <w:hideMark/>
          </w:tcPr>
          <w:p w14:paraId="1D5CB024"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Number of Activities</w:t>
            </w:r>
          </w:p>
        </w:tc>
        <w:tc>
          <w:tcPr>
            <w:tcW w:w="728" w:type="pct"/>
            <w:vAlign w:val="center"/>
            <w:hideMark/>
          </w:tcPr>
          <w:p w14:paraId="07DE2687"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Total Estimated Cost</w:t>
            </w:r>
          </w:p>
        </w:tc>
        <w:tc>
          <w:tcPr>
            <w:tcW w:w="385" w:type="pct"/>
            <w:tcBorders>
              <w:right w:val="single" w:sz="2" w:space="0" w:color="000000" w:themeColor="text1"/>
            </w:tcBorders>
            <w:vAlign w:val="center"/>
            <w:hideMark/>
          </w:tcPr>
          <w:p w14:paraId="7078CD86"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3C206F">
              <w:rPr>
                <w:rFonts w:ascii="Roboto" w:hAnsi="Roboto" w:cs="Calibri"/>
                <w:b/>
                <w:color w:val="404040" w:themeColor="text1" w:themeTint="BF"/>
                <w:sz w:val="18"/>
                <w:szCs w:val="18"/>
                <w:lang w:val="en-GB"/>
              </w:rPr>
              <w:t>SDGs</w:t>
            </w:r>
          </w:p>
        </w:tc>
      </w:tr>
      <w:tr w:rsidR="001A7FFD" w:rsidRPr="003C206F" w14:paraId="43BB1055" w14:textId="77777777" w:rsidTr="005A5556">
        <w:trPr>
          <w:cnfStyle w:val="000000100000" w:firstRow="0" w:lastRow="0" w:firstColumn="0" w:lastColumn="0" w:oddVBand="0" w:evenVBand="0" w:oddHBand="1" w:evenHBand="0" w:firstRowFirstColumn="0" w:firstRowLastColumn="0" w:lastRowFirstColumn="0" w:lastRowLastColumn="0"/>
          <w:trHeight w:val="192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5079A78E"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3.1 Grow contribution of the private sector to the economy</w:t>
            </w:r>
          </w:p>
        </w:tc>
        <w:tc>
          <w:tcPr>
            <w:tcW w:w="533" w:type="pct"/>
            <w:vAlign w:val="center"/>
            <w:hideMark/>
          </w:tcPr>
          <w:p w14:paraId="661DD018"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UNDP, UNODC</w:t>
            </w:r>
          </w:p>
        </w:tc>
        <w:tc>
          <w:tcPr>
            <w:tcW w:w="1948" w:type="pct"/>
            <w:vAlign w:val="center"/>
            <w:hideMark/>
          </w:tcPr>
          <w:p w14:paraId="20C51CEF" w14:textId="77777777" w:rsidR="001A7FFD" w:rsidRPr="00422377" w:rsidRDefault="001A7FFD" w:rsidP="005A5556">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National Center for Performance Management, National Anti-corruption Commission, Saudi Development and Reconstruction Program for Yemen, Ministry of Health, Ministry of Interior, Ministry of Economy and Planning, Ministry of Communication and Information, General Authority for Statistics, Saudi Central Bank, Saudi Arabia Financial Investigation Unit, The Public Prosecution, Anti-Money Laundering Permanent Committee</w:t>
            </w:r>
          </w:p>
        </w:tc>
        <w:tc>
          <w:tcPr>
            <w:tcW w:w="534" w:type="pct"/>
            <w:vAlign w:val="center"/>
            <w:hideMark/>
          </w:tcPr>
          <w:p w14:paraId="44F3CC19"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8</w:t>
            </w:r>
          </w:p>
        </w:tc>
        <w:tc>
          <w:tcPr>
            <w:tcW w:w="728" w:type="pct"/>
            <w:vAlign w:val="center"/>
            <w:hideMark/>
          </w:tcPr>
          <w:p w14:paraId="57E9BBAA"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$19,662,719</w:t>
            </w:r>
          </w:p>
        </w:tc>
        <w:tc>
          <w:tcPr>
            <w:tcW w:w="385" w:type="pct"/>
            <w:tcBorders>
              <w:right w:val="single" w:sz="2" w:space="0" w:color="000000" w:themeColor="text1"/>
            </w:tcBorders>
            <w:vAlign w:val="center"/>
            <w:hideMark/>
          </w:tcPr>
          <w:p w14:paraId="3CD147C4"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16, 17</w:t>
            </w:r>
          </w:p>
        </w:tc>
      </w:tr>
      <w:tr w:rsidR="001A7FFD" w:rsidRPr="003C206F" w14:paraId="2ED8D714"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7A6E5675"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3.3 Unlock potential of non-oil sectors</w:t>
            </w:r>
          </w:p>
          <w:p w14:paraId="75F7AE94" w14:textId="77777777" w:rsidR="001A7FFD" w:rsidRPr="00422377" w:rsidRDefault="001A7FFD" w:rsidP="005A5556">
            <w:pPr>
              <w:rPr>
                <w:rFonts w:ascii="Roboto" w:hAnsi="Roboto" w:cs="Calibri"/>
                <w:color w:val="404040" w:themeColor="text1" w:themeTint="BF"/>
                <w:sz w:val="18"/>
                <w:szCs w:val="18"/>
                <w:lang w:val="en-GB"/>
              </w:rPr>
            </w:pPr>
          </w:p>
          <w:p w14:paraId="39F14925" w14:textId="77777777" w:rsidR="001A7FFD" w:rsidRPr="00422377" w:rsidRDefault="001A7FFD" w:rsidP="005A5556">
            <w:pPr>
              <w:rPr>
                <w:rFonts w:ascii="Roboto" w:hAnsi="Roboto" w:cs="Calibri"/>
                <w:color w:val="404040" w:themeColor="text1" w:themeTint="BF"/>
                <w:sz w:val="18"/>
                <w:szCs w:val="18"/>
                <w:lang w:val="en-GB"/>
              </w:rPr>
            </w:pPr>
          </w:p>
        </w:tc>
        <w:tc>
          <w:tcPr>
            <w:tcW w:w="533" w:type="pct"/>
            <w:vAlign w:val="center"/>
            <w:hideMark/>
          </w:tcPr>
          <w:p w14:paraId="788FE123" w14:textId="77777777" w:rsidR="001A7FFD" w:rsidRPr="00422377"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UNDP, UNWTO</w:t>
            </w:r>
          </w:p>
        </w:tc>
        <w:tc>
          <w:tcPr>
            <w:tcW w:w="1948" w:type="pct"/>
            <w:noWrap/>
            <w:vAlign w:val="center"/>
            <w:hideMark/>
          </w:tcPr>
          <w:p w14:paraId="42BCED9B" w14:textId="77777777" w:rsidR="001A7FFD" w:rsidRPr="00422377" w:rsidRDefault="001A7FFD" w:rsidP="005A5556">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Tourism</w:t>
            </w:r>
          </w:p>
        </w:tc>
        <w:tc>
          <w:tcPr>
            <w:tcW w:w="534" w:type="pct"/>
            <w:vAlign w:val="center"/>
            <w:hideMark/>
          </w:tcPr>
          <w:p w14:paraId="64F430BE"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2</w:t>
            </w:r>
          </w:p>
        </w:tc>
        <w:tc>
          <w:tcPr>
            <w:tcW w:w="728" w:type="pct"/>
            <w:vAlign w:val="center"/>
            <w:hideMark/>
          </w:tcPr>
          <w:p w14:paraId="06FED646"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$1,000,000*</w:t>
            </w:r>
          </w:p>
        </w:tc>
        <w:tc>
          <w:tcPr>
            <w:tcW w:w="385" w:type="pct"/>
            <w:tcBorders>
              <w:right w:val="single" w:sz="2" w:space="0" w:color="000000" w:themeColor="text1"/>
            </w:tcBorders>
            <w:vAlign w:val="center"/>
            <w:hideMark/>
          </w:tcPr>
          <w:p w14:paraId="796EE875"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4, 8, 17</w:t>
            </w:r>
          </w:p>
        </w:tc>
      </w:tr>
      <w:tr w:rsidR="001A7FFD" w:rsidRPr="003C206F" w14:paraId="5DD591B7" w14:textId="77777777" w:rsidTr="005A5556">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4FBFD66F"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3.5 Position KSA as a global logistic hub</w:t>
            </w:r>
          </w:p>
        </w:tc>
        <w:tc>
          <w:tcPr>
            <w:tcW w:w="533" w:type="pct"/>
            <w:vAlign w:val="center"/>
            <w:hideMark/>
          </w:tcPr>
          <w:p w14:paraId="0D9234B2"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UNODC</w:t>
            </w:r>
          </w:p>
        </w:tc>
        <w:tc>
          <w:tcPr>
            <w:tcW w:w="1948" w:type="pct"/>
            <w:vAlign w:val="center"/>
            <w:hideMark/>
          </w:tcPr>
          <w:p w14:paraId="3CFC585F" w14:textId="77777777" w:rsidR="001A7FFD" w:rsidRPr="00422377" w:rsidRDefault="001A7FFD" w:rsidP="005A5556">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Interior, Saudi Customs, General Directorate of Border Guard</w:t>
            </w:r>
          </w:p>
        </w:tc>
        <w:tc>
          <w:tcPr>
            <w:tcW w:w="534" w:type="pct"/>
            <w:vAlign w:val="center"/>
            <w:hideMark/>
          </w:tcPr>
          <w:p w14:paraId="37D707D5"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w:t>
            </w:r>
          </w:p>
        </w:tc>
        <w:tc>
          <w:tcPr>
            <w:tcW w:w="728" w:type="pct"/>
            <w:vAlign w:val="center"/>
            <w:hideMark/>
          </w:tcPr>
          <w:p w14:paraId="4F544F9E"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$1,800,000</w:t>
            </w:r>
          </w:p>
        </w:tc>
        <w:tc>
          <w:tcPr>
            <w:tcW w:w="385" w:type="pct"/>
            <w:tcBorders>
              <w:right w:val="single" w:sz="2" w:space="0" w:color="000000" w:themeColor="text1"/>
            </w:tcBorders>
            <w:vAlign w:val="center"/>
            <w:hideMark/>
          </w:tcPr>
          <w:p w14:paraId="707F470C"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16</w:t>
            </w:r>
          </w:p>
        </w:tc>
      </w:tr>
      <w:tr w:rsidR="001A7FFD" w:rsidRPr="003C206F" w14:paraId="2FB3160D"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65440B25"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4.1 Develop Human Capital in line with labor market needs</w:t>
            </w:r>
          </w:p>
        </w:tc>
        <w:tc>
          <w:tcPr>
            <w:tcW w:w="533" w:type="pct"/>
            <w:vAlign w:val="center"/>
            <w:hideMark/>
          </w:tcPr>
          <w:p w14:paraId="7E6C7955" w14:textId="77777777" w:rsidR="001A7FFD" w:rsidRPr="00422377"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ILO, IOM, OHCHR, UNESCO, UNICEF</w:t>
            </w:r>
          </w:p>
        </w:tc>
        <w:tc>
          <w:tcPr>
            <w:tcW w:w="1948" w:type="pct"/>
            <w:noWrap/>
            <w:vAlign w:val="center"/>
            <w:hideMark/>
          </w:tcPr>
          <w:p w14:paraId="2277AB7D" w14:textId="77777777" w:rsidR="001A7FFD" w:rsidRPr="00422377" w:rsidRDefault="001A7FFD" w:rsidP="005A5556">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Education, Family Affairs Council, Saudi Human Rights Commission, Ministry of Human Resources and Social Development</w:t>
            </w:r>
          </w:p>
          <w:p w14:paraId="63FAACC1" w14:textId="77777777" w:rsidR="001A7FFD" w:rsidRPr="00422377" w:rsidRDefault="001A7FFD" w:rsidP="005A5556">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34" w:type="pct"/>
            <w:vAlign w:val="center"/>
            <w:hideMark/>
          </w:tcPr>
          <w:p w14:paraId="22C259DB"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10</w:t>
            </w:r>
          </w:p>
        </w:tc>
        <w:tc>
          <w:tcPr>
            <w:tcW w:w="728" w:type="pct"/>
            <w:vAlign w:val="center"/>
            <w:hideMark/>
          </w:tcPr>
          <w:p w14:paraId="14FDF60F"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$3,046,866</w:t>
            </w:r>
          </w:p>
        </w:tc>
        <w:tc>
          <w:tcPr>
            <w:tcW w:w="385" w:type="pct"/>
            <w:tcBorders>
              <w:right w:val="single" w:sz="2" w:space="0" w:color="000000" w:themeColor="text1"/>
            </w:tcBorders>
            <w:vAlign w:val="center"/>
            <w:hideMark/>
          </w:tcPr>
          <w:p w14:paraId="6DD56C92"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4, 8</w:t>
            </w:r>
          </w:p>
        </w:tc>
      </w:tr>
      <w:tr w:rsidR="001A7FFD" w:rsidRPr="003C206F" w14:paraId="6BDB9D07" w14:textId="77777777" w:rsidTr="005A5556">
        <w:trPr>
          <w:cnfStyle w:val="000000100000" w:firstRow="0" w:lastRow="0" w:firstColumn="0" w:lastColumn="0" w:oddVBand="0" w:evenVBand="0" w:oddHBand="1"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0461B1B0"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4.2 Ensuring equal access to job opportunities</w:t>
            </w:r>
          </w:p>
        </w:tc>
        <w:tc>
          <w:tcPr>
            <w:tcW w:w="533" w:type="pct"/>
            <w:vAlign w:val="center"/>
            <w:hideMark/>
          </w:tcPr>
          <w:p w14:paraId="32EA72EC" w14:textId="77777777" w:rsidR="001A7FFD" w:rsidRPr="004505D1"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fr-FR"/>
              </w:rPr>
            </w:pPr>
            <w:r w:rsidRPr="004505D1">
              <w:rPr>
                <w:rFonts w:ascii="Roboto" w:hAnsi="Roboto" w:cs="Calibri"/>
                <w:b/>
                <w:color w:val="404040" w:themeColor="text1" w:themeTint="BF"/>
                <w:sz w:val="18"/>
                <w:szCs w:val="18"/>
                <w:lang w:val="fr-FR"/>
              </w:rPr>
              <w:t>OHCHR, UN-Habitat, UN Women, UNDP, UNFPA</w:t>
            </w:r>
          </w:p>
        </w:tc>
        <w:tc>
          <w:tcPr>
            <w:tcW w:w="1948" w:type="pct"/>
            <w:vAlign w:val="center"/>
            <w:hideMark/>
          </w:tcPr>
          <w:p w14:paraId="6747943C" w14:textId="77777777" w:rsidR="001A7FFD" w:rsidRPr="00422377" w:rsidRDefault="001A7FFD" w:rsidP="005A5556">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Human Resources and Social Development, Ministry of Health, Ministry of Tourism, Ministry of Transportation, Ministry of Sports, Saudi Human Rights Commission, Disability Centers</w:t>
            </w:r>
          </w:p>
        </w:tc>
        <w:tc>
          <w:tcPr>
            <w:tcW w:w="534" w:type="pct"/>
            <w:vAlign w:val="center"/>
            <w:hideMark/>
          </w:tcPr>
          <w:p w14:paraId="400EAD18"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6</w:t>
            </w:r>
          </w:p>
        </w:tc>
        <w:tc>
          <w:tcPr>
            <w:tcW w:w="728" w:type="pct"/>
            <w:vAlign w:val="center"/>
            <w:hideMark/>
          </w:tcPr>
          <w:p w14:paraId="0E134FC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$12,811,963</w:t>
            </w:r>
          </w:p>
        </w:tc>
        <w:tc>
          <w:tcPr>
            <w:tcW w:w="385" w:type="pct"/>
            <w:tcBorders>
              <w:right w:val="single" w:sz="2" w:space="0" w:color="000000" w:themeColor="text1"/>
            </w:tcBorders>
            <w:vAlign w:val="center"/>
            <w:hideMark/>
          </w:tcPr>
          <w:p w14:paraId="15E7776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1, 4, 5, 8, 10, 11, 17</w:t>
            </w:r>
          </w:p>
        </w:tc>
      </w:tr>
      <w:tr w:rsidR="001A7FFD" w:rsidRPr="003C206F" w14:paraId="22797C88"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6323F8BF"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4.3 Enable job creation through SMEs and Micro-enterprises</w:t>
            </w:r>
          </w:p>
        </w:tc>
        <w:tc>
          <w:tcPr>
            <w:tcW w:w="533" w:type="pct"/>
            <w:vAlign w:val="center"/>
            <w:hideMark/>
          </w:tcPr>
          <w:p w14:paraId="760AA41B" w14:textId="77777777" w:rsidR="001A7FFD" w:rsidRPr="00422377"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UNIDO, UNCTAD</w:t>
            </w:r>
          </w:p>
        </w:tc>
        <w:tc>
          <w:tcPr>
            <w:tcW w:w="1948" w:type="pct"/>
            <w:noWrap/>
            <w:vAlign w:val="center"/>
            <w:hideMark/>
          </w:tcPr>
          <w:p w14:paraId="11468F28" w14:textId="77777777" w:rsidR="001A7FFD" w:rsidRPr="00422377" w:rsidRDefault="001A7FFD" w:rsidP="005A5556">
            <w:pPr>
              <w:spacing w:beforeLines="20" w:before="48" w:afterLines="20" w:after="48"/>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National Industrial Clusters Development Program, Ministry of Culture, Ministry of Foreign Affairs, Ministry of Commerce, Ministry of Finance, Authority for Intellectual Property</w:t>
            </w:r>
          </w:p>
        </w:tc>
        <w:tc>
          <w:tcPr>
            <w:tcW w:w="534" w:type="pct"/>
            <w:vAlign w:val="center"/>
            <w:hideMark/>
          </w:tcPr>
          <w:p w14:paraId="5AEEA202"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3</w:t>
            </w:r>
          </w:p>
        </w:tc>
        <w:tc>
          <w:tcPr>
            <w:tcW w:w="728" w:type="pct"/>
            <w:vAlign w:val="center"/>
            <w:hideMark/>
          </w:tcPr>
          <w:p w14:paraId="0FCA1493"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$3,000,000*</w:t>
            </w:r>
          </w:p>
        </w:tc>
        <w:tc>
          <w:tcPr>
            <w:tcW w:w="385" w:type="pct"/>
            <w:tcBorders>
              <w:right w:val="single" w:sz="2" w:space="0" w:color="000000" w:themeColor="text1"/>
            </w:tcBorders>
            <w:vAlign w:val="center"/>
            <w:hideMark/>
          </w:tcPr>
          <w:p w14:paraId="568409D1"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4, 8, 9</w:t>
            </w:r>
          </w:p>
        </w:tc>
      </w:tr>
      <w:tr w:rsidR="001A7FFD" w:rsidRPr="003C206F" w14:paraId="764FF668" w14:textId="77777777" w:rsidTr="005A5556">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29AB2C93" w14:textId="77777777" w:rsidR="001A7FFD" w:rsidRPr="00422377" w:rsidRDefault="001A7FFD" w:rsidP="005A5556">
            <w:pP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4.4 Attract relevant foreign talents for the economy</w:t>
            </w:r>
          </w:p>
        </w:tc>
        <w:tc>
          <w:tcPr>
            <w:tcW w:w="533" w:type="pct"/>
            <w:vAlign w:val="center"/>
            <w:hideMark/>
          </w:tcPr>
          <w:p w14:paraId="26D9BB9A"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ILO, IOM</w:t>
            </w:r>
          </w:p>
        </w:tc>
        <w:tc>
          <w:tcPr>
            <w:tcW w:w="1948" w:type="pct"/>
            <w:vAlign w:val="center"/>
            <w:hideMark/>
          </w:tcPr>
          <w:p w14:paraId="09FEBF44" w14:textId="77777777" w:rsidR="001A7FFD" w:rsidRPr="00422377" w:rsidRDefault="001A7FFD" w:rsidP="005A5556">
            <w:pPr>
              <w:spacing w:beforeLines="20" w:before="48" w:afterLines="20" w:after="48"/>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Human Resources and Social Development, Saudi Human Rights Commission, General Organization for Social Insurance</w:t>
            </w:r>
          </w:p>
        </w:tc>
        <w:tc>
          <w:tcPr>
            <w:tcW w:w="534" w:type="pct"/>
            <w:vAlign w:val="center"/>
            <w:hideMark/>
          </w:tcPr>
          <w:p w14:paraId="0CFC4FA6"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12</w:t>
            </w:r>
          </w:p>
        </w:tc>
        <w:tc>
          <w:tcPr>
            <w:tcW w:w="728" w:type="pct"/>
            <w:vAlign w:val="center"/>
            <w:hideMark/>
          </w:tcPr>
          <w:p w14:paraId="468852C5"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$4,029,000</w:t>
            </w:r>
          </w:p>
        </w:tc>
        <w:tc>
          <w:tcPr>
            <w:tcW w:w="385" w:type="pct"/>
            <w:tcBorders>
              <w:right w:val="single" w:sz="2" w:space="0" w:color="000000" w:themeColor="text1"/>
            </w:tcBorders>
            <w:vAlign w:val="center"/>
            <w:hideMark/>
          </w:tcPr>
          <w:p w14:paraId="76DC23A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1, 3, 5, 10, 11, 16</w:t>
            </w:r>
          </w:p>
        </w:tc>
      </w:tr>
      <w:tr w:rsidR="001A7FFD" w:rsidRPr="003C206F" w14:paraId="64C34AFA" w14:textId="77777777" w:rsidTr="005A5556">
        <w:trPr>
          <w:trHeight w:val="3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bottom w:val="single" w:sz="2" w:space="0" w:color="000000" w:themeColor="text1"/>
            </w:tcBorders>
            <w:vAlign w:val="center"/>
            <w:hideMark/>
          </w:tcPr>
          <w:p w14:paraId="74ACFE05" w14:textId="77777777" w:rsidR="001A7FFD" w:rsidRPr="00422377" w:rsidRDefault="001A7FFD" w:rsidP="005A5556">
            <w:pPr>
              <w:jc w:val="center"/>
              <w:rPr>
                <w:rFonts w:ascii="Roboto" w:hAnsi="Roboto" w:cs="Calibri"/>
                <w:color w:val="404040" w:themeColor="text1" w:themeTint="BF"/>
                <w:sz w:val="18"/>
                <w:szCs w:val="18"/>
                <w:lang w:val="en-GB"/>
              </w:rPr>
            </w:pPr>
            <w:r w:rsidRPr="00422377">
              <w:rPr>
                <w:rFonts w:ascii="Roboto" w:hAnsi="Roboto" w:cs="Calibri"/>
                <w:color w:val="404040" w:themeColor="text1" w:themeTint="BF"/>
                <w:sz w:val="18"/>
                <w:szCs w:val="18"/>
                <w:lang w:val="en-GB"/>
              </w:rPr>
              <w:t>Total</w:t>
            </w:r>
          </w:p>
        </w:tc>
        <w:tc>
          <w:tcPr>
            <w:tcW w:w="533" w:type="pct"/>
            <w:tcBorders>
              <w:bottom w:val="single" w:sz="2" w:space="0" w:color="000000" w:themeColor="text1"/>
            </w:tcBorders>
            <w:noWrap/>
            <w:vAlign w:val="center"/>
            <w:hideMark/>
          </w:tcPr>
          <w:p w14:paraId="2B9A0AF7"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c>
          <w:tcPr>
            <w:tcW w:w="1948" w:type="pct"/>
            <w:tcBorders>
              <w:bottom w:val="single" w:sz="2" w:space="0" w:color="000000" w:themeColor="text1"/>
            </w:tcBorders>
            <w:noWrap/>
            <w:vAlign w:val="center"/>
            <w:hideMark/>
          </w:tcPr>
          <w:p w14:paraId="4FA37707" w14:textId="77777777" w:rsidR="001A7FFD" w:rsidRPr="00422377" w:rsidRDefault="001A7FFD" w:rsidP="005A5556">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c>
          <w:tcPr>
            <w:tcW w:w="534" w:type="pct"/>
            <w:tcBorders>
              <w:bottom w:val="single" w:sz="2" w:space="0" w:color="000000" w:themeColor="text1"/>
            </w:tcBorders>
            <w:noWrap/>
            <w:vAlign w:val="center"/>
            <w:hideMark/>
          </w:tcPr>
          <w:p w14:paraId="4D1A247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42</w:t>
            </w:r>
          </w:p>
        </w:tc>
        <w:tc>
          <w:tcPr>
            <w:tcW w:w="728" w:type="pct"/>
            <w:tcBorders>
              <w:bottom w:val="single" w:sz="2" w:space="0" w:color="000000" w:themeColor="text1"/>
            </w:tcBorders>
            <w:noWrap/>
            <w:vAlign w:val="center"/>
            <w:hideMark/>
          </w:tcPr>
          <w:p w14:paraId="7EF558F8"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$45,350,548*</w:t>
            </w:r>
          </w:p>
        </w:tc>
        <w:tc>
          <w:tcPr>
            <w:tcW w:w="385" w:type="pct"/>
            <w:tcBorders>
              <w:bottom w:val="single" w:sz="2" w:space="0" w:color="000000" w:themeColor="text1"/>
              <w:right w:val="single" w:sz="2" w:space="0" w:color="000000" w:themeColor="text1"/>
            </w:tcBorders>
            <w:noWrap/>
            <w:vAlign w:val="center"/>
            <w:hideMark/>
          </w:tcPr>
          <w:p w14:paraId="25631257"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w:t>
            </w:r>
          </w:p>
        </w:tc>
      </w:tr>
    </w:tbl>
    <w:p w14:paraId="33203B94"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769A5FAC" w14:textId="5145333C"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 xml:space="preserve">In terms of Pillar 2 of the KSA’s Vision 2030, there are 42 activities at the UN level slated for the 2022 to 2026 period that total an estimated cost of $45,350,548. The highest proportion of UN activities within Pillar 2 falls under </w:t>
      </w:r>
      <w:r w:rsidR="00E719CA">
        <w:rPr>
          <w:rFonts w:ascii="Roboto" w:hAnsi="Roboto"/>
          <w:color w:val="404040" w:themeColor="text1" w:themeTint="BF"/>
          <w:sz w:val="21"/>
          <w:szCs w:val="21"/>
          <w:lang w:val="en-GB"/>
        </w:rPr>
        <w:t xml:space="preserve">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Vision 2030’s 4.4</w:t>
      </w:r>
      <w:r w:rsidRPr="003C206F">
        <w:rPr>
          <w:rFonts w:ascii="Roboto" w:hAnsi="Roboto" w:cs="Calibri"/>
          <w:color w:val="404040" w:themeColor="text1" w:themeTint="BF"/>
          <w:sz w:val="21"/>
          <w:szCs w:val="21"/>
          <w:lang w:val="en-GB"/>
        </w:rPr>
        <w:t xml:space="preserve"> Attract Relevant Foreign Talents for the Economy</w:t>
      </w:r>
      <w:r w:rsidRPr="003C206F">
        <w:rPr>
          <w:rFonts w:ascii="Roboto" w:hAnsi="Roboto"/>
          <w:color w:val="404040" w:themeColor="text1" w:themeTint="BF"/>
          <w:sz w:val="21"/>
          <w:szCs w:val="21"/>
          <w:lang w:val="en-GB"/>
        </w:rPr>
        <w:t xml:space="preserve">, which is associated with 12 activities (29% of Pillar 2’s total). The largest financial commitment is poised to be associated with </w:t>
      </w:r>
      <w:r w:rsidRPr="003C206F">
        <w:rPr>
          <w:rFonts w:ascii="Roboto" w:hAnsi="Roboto" w:cs="Calibri"/>
          <w:color w:val="404040" w:themeColor="text1" w:themeTint="BF"/>
          <w:sz w:val="21"/>
          <w:szCs w:val="21"/>
          <w:lang w:val="en-GB"/>
        </w:rPr>
        <w:t>3.1 Grow Contribution of the Private Sector to the Economy</w:t>
      </w:r>
      <w:r w:rsidRPr="003C206F">
        <w:rPr>
          <w:rFonts w:ascii="Roboto" w:hAnsi="Roboto"/>
          <w:color w:val="404040" w:themeColor="text1" w:themeTint="BF"/>
          <w:sz w:val="21"/>
          <w:szCs w:val="21"/>
          <w:lang w:val="en-GB"/>
        </w:rPr>
        <w:t xml:space="preserve">, the activities of which have a total estimated cost of $19,662,719 (43% of Pillar 2’s total). </w:t>
      </w:r>
    </w:p>
    <w:p w14:paraId="1B55518F"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33268908" w14:textId="60FC2145"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lastRenderedPageBreak/>
        <w:t>Thirteen AFPs have joined forces with 29 Saudi partner organizations to tackle the challenges pertinent to this domain. The most active AFP across the UN activities in Pillar 2 is the UNDP, which is involved in activities spanning three</w:t>
      </w:r>
      <w:r w:rsidR="00E719CA">
        <w:rPr>
          <w:rFonts w:ascii="Roboto" w:hAnsi="Roboto"/>
          <w:color w:val="404040" w:themeColor="text1" w:themeTint="BF"/>
          <w:sz w:val="21"/>
          <w:szCs w:val="21"/>
          <w:lang w:val="en-GB"/>
        </w:rPr>
        <w:t xml:space="preserve"> of the</w:t>
      </w:r>
      <w:r w:rsidRPr="003C206F">
        <w:rPr>
          <w:rFonts w:ascii="Roboto" w:hAnsi="Roboto"/>
          <w:color w:val="404040" w:themeColor="text1" w:themeTint="BF"/>
          <w:sz w:val="21"/>
          <w:szCs w:val="21"/>
          <w:lang w:val="en-GB"/>
        </w:rPr>
        <w:t xml:space="preserv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3C206F">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The most active Saudi partner organizations in Pillar 2 are the Ministry of Resources and Social Development and the Saudi Human Rights Commission, both of which span three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Vision 2030 Level 2</w:t>
      </w:r>
      <w:r>
        <w:rPr>
          <w:rFonts w:ascii="Roboto" w:hAnsi="Roboto"/>
          <w:color w:val="404040" w:themeColor="text1" w:themeTint="BF"/>
          <w:sz w:val="21"/>
          <w:szCs w:val="21"/>
          <w:lang w:val="en-GB"/>
        </w:rPr>
        <w:t xml:space="preserve"> ‘branch</w:t>
      </w:r>
      <w:r w:rsidRPr="003C206F">
        <w:rPr>
          <w:rFonts w:ascii="Roboto" w:hAnsi="Roboto"/>
          <w:color w:val="404040" w:themeColor="text1" w:themeTint="BF"/>
          <w:sz w:val="21"/>
          <w:szCs w:val="21"/>
          <w:lang w:val="en-GB"/>
        </w:rPr>
        <w:t xml:space="preserve"> 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w:t>
      </w:r>
    </w:p>
    <w:p w14:paraId="6863C694" w14:textId="77777777" w:rsidR="001A7FFD" w:rsidRPr="003C206F" w:rsidRDefault="001A7FFD" w:rsidP="001A7FFD">
      <w:pPr>
        <w:rPr>
          <w:rFonts w:ascii="Roboto" w:hAnsi="Roboto" w:cs="Calibri"/>
          <w:b/>
          <w:color w:val="404040" w:themeColor="text1" w:themeTint="BF"/>
          <w:sz w:val="22"/>
          <w:szCs w:val="22"/>
          <w:lang w:val="en-GB"/>
        </w:rPr>
      </w:pPr>
    </w:p>
    <w:tbl>
      <w:tblPr>
        <w:tblStyle w:val="PlainTable3"/>
        <w:tblW w:w="5144" w:type="pct"/>
        <w:jc w:val="center"/>
        <w:tblLayout w:type="fixed"/>
        <w:tblLook w:val="04A0" w:firstRow="1" w:lastRow="0" w:firstColumn="1" w:lastColumn="0" w:noHBand="0" w:noVBand="1"/>
      </w:tblPr>
      <w:tblGrid>
        <w:gridCol w:w="1619"/>
        <w:gridCol w:w="990"/>
        <w:gridCol w:w="3249"/>
        <w:gridCol w:w="1082"/>
        <w:gridCol w:w="1532"/>
        <w:gridCol w:w="811"/>
      </w:tblGrid>
      <w:tr w:rsidR="001A7FFD" w:rsidRPr="003C206F" w14:paraId="07939D22" w14:textId="77777777" w:rsidTr="005A555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noWrap/>
            <w:vAlign w:val="center"/>
            <w:hideMark/>
          </w:tcPr>
          <w:p w14:paraId="56C61154" w14:textId="1C6160CA" w:rsidR="001A7FFD" w:rsidRPr="003C206F" w:rsidRDefault="001A7FFD" w:rsidP="005A5556">
            <w:pPr>
              <w:pStyle w:val="KSASubHead1-Blue"/>
              <w:ind w:left="144"/>
              <w:rPr>
                <w:rFonts w:ascii="Roboto" w:hAnsi="Roboto"/>
                <w:color w:val="404040" w:themeColor="text1" w:themeTint="BF"/>
                <w:sz w:val="22"/>
                <w:szCs w:val="22"/>
              </w:rPr>
            </w:pPr>
            <w:r w:rsidRPr="003C206F">
              <w:rPr>
                <w:rFonts w:ascii="Roboto" w:hAnsi="Roboto"/>
                <w:color w:val="404040" w:themeColor="text1" w:themeTint="BF"/>
                <w:sz w:val="22"/>
                <w:szCs w:val="22"/>
              </w:rPr>
              <w:t xml:space="preserve">table </w:t>
            </w:r>
            <w:r>
              <w:rPr>
                <w:rFonts w:ascii="Roboto" w:hAnsi="Roboto"/>
                <w:color w:val="404040" w:themeColor="text1" w:themeTint="BF"/>
                <w:sz w:val="22"/>
                <w:szCs w:val="22"/>
              </w:rPr>
              <w:t>C</w:t>
            </w:r>
            <w:r w:rsidRPr="003C206F">
              <w:rPr>
                <w:rFonts w:ascii="Roboto" w:hAnsi="Roboto"/>
                <w:color w:val="404040" w:themeColor="text1" w:themeTint="BF"/>
                <w:sz w:val="22"/>
                <w:szCs w:val="22"/>
              </w:rPr>
              <w:t xml:space="preserve">.4 results matrix for </w:t>
            </w:r>
            <w:r w:rsidR="00E719CA">
              <w:rPr>
                <w:rFonts w:ascii="Roboto" w:hAnsi="Roboto"/>
                <w:color w:val="404040" w:themeColor="text1" w:themeTint="BF"/>
                <w:sz w:val="22"/>
                <w:szCs w:val="22"/>
              </w:rPr>
              <w:t xml:space="preserve">the </w:t>
            </w:r>
            <w:r w:rsidR="00E719CA">
              <w:rPr>
                <w:rFonts w:ascii="Roboto" w:hAnsi="Roboto"/>
                <w:color w:val="404040" w:themeColor="text1" w:themeTint="BF"/>
                <w:sz w:val="21"/>
                <w:szCs w:val="21"/>
              </w:rPr>
              <w:t xml:space="preserve">KSA’s </w:t>
            </w:r>
            <w:r w:rsidRPr="003C206F">
              <w:rPr>
                <w:rFonts w:ascii="Roboto" w:hAnsi="Roboto"/>
                <w:color w:val="404040" w:themeColor="text1" w:themeTint="BF"/>
                <w:sz w:val="22"/>
                <w:szCs w:val="22"/>
              </w:rPr>
              <w:t xml:space="preserve">Vision 2030 Pillar 3, </w:t>
            </w:r>
            <w:r>
              <w:rPr>
                <w:rFonts w:ascii="Roboto" w:hAnsi="Roboto"/>
                <w:color w:val="404040" w:themeColor="text1" w:themeTint="BF"/>
                <w:sz w:val="22"/>
                <w:szCs w:val="22"/>
              </w:rPr>
              <w:t xml:space="preserve">overarching </w:t>
            </w:r>
            <w:r w:rsidRPr="003C206F">
              <w:rPr>
                <w:rFonts w:ascii="Roboto" w:hAnsi="Roboto"/>
                <w:color w:val="404040" w:themeColor="text1" w:themeTint="BF"/>
                <w:sz w:val="22"/>
                <w:szCs w:val="22"/>
              </w:rPr>
              <w:t>Objective</w:t>
            </w:r>
            <w:r>
              <w:rPr>
                <w:rFonts w:ascii="Roboto" w:hAnsi="Roboto"/>
                <w:color w:val="404040" w:themeColor="text1" w:themeTint="BF"/>
                <w:sz w:val="22"/>
                <w:szCs w:val="22"/>
              </w:rPr>
              <w:t>s</w:t>
            </w:r>
            <w:r w:rsidRPr="003C206F">
              <w:rPr>
                <w:rFonts w:ascii="Roboto" w:hAnsi="Roboto"/>
                <w:color w:val="404040" w:themeColor="text1" w:themeTint="BF"/>
                <w:sz w:val="22"/>
                <w:szCs w:val="22"/>
              </w:rPr>
              <w:t xml:space="preserve"> 5 &amp; 6</w:t>
            </w:r>
          </w:p>
        </w:tc>
      </w:tr>
      <w:tr w:rsidR="001A7FFD" w:rsidRPr="003C206F" w14:paraId="3B1A75C5" w14:textId="77777777" w:rsidTr="005A55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noWrap/>
            <w:vAlign w:val="center"/>
            <w:hideMark/>
          </w:tcPr>
          <w:p w14:paraId="44FFDE1E" w14:textId="77777777" w:rsidR="001A7FFD" w:rsidRPr="003C206F" w:rsidRDefault="001A7FFD" w:rsidP="005A5556">
            <w:pPr>
              <w:jc w:val="cente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SDGs:</w:t>
            </w:r>
          </w:p>
        </w:tc>
        <w:tc>
          <w:tcPr>
            <w:tcW w:w="4128" w:type="pct"/>
            <w:gridSpan w:val="5"/>
            <w:tcBorders>
              <w:right w:val="single" w:sz="2" w:space="0" w:color="000000" w:themeColor="text1"/>
            </w:tcBorders>
            <w:vAlign w:val="center"/>
            <w:hideMark/>
          </w:tcPr>
          <w:p w14:paraId="26F90AA7"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1, 2, 3, 4, 5, 6, 8, 9, 11, 12 ,13, 14, 16, 17</w:t>
            </w:r>
          </w:p>
        </w:tc>
      </w:tr>
      <w:tr w:rsidR="001A7FFD" w:rsidRPr="003C206F" w14:paraId="17E26A5F" w14:textId="77777777" w:rsidTr="005A5556">
        <w:trPr>
          <w:trHeight w:val="66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0124DCE3" w14:textId="77777777" w:rsidR="001A7FFD" w:rsidRPr="003C206F" w:rsidRDefault="001A7FFD" w:rsidP="005A5556">
            <w:pPr>
              <w:jc w:val="cente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Vision Level 2:</w:t>
            </w:r>
          </w:p>
        </w:tc>
        <w:tc>
          <w:tcPr>
            <w:tcW w:w="533" w:type="pct"/>
            <w:vAlign w:val="center"/>
            <w:hideMark/>
          </w:tcPr>
          <w:p w14:paraId="7E3AAD87"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AFPs</w:t>
            </w:r>
          </w:p>
        </w:tc>
        <w:tc>
          <w:tcPr>
            <w:tcW w:w="1750" w:type="pct"/>
            <w:vAlign w:val="center"/>
            <w:hideMark/>
          </w:tcPr>
          <w:p w14:paraId="2C2015AC"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Partner(s)</w:t>
            </w:r>
          </w:p>
        </w:tc>
        <w:tc>
          <w:tcPr>
            <w:tcW w:w="583" w:type="pct"/>
            <w:vAlign w:val="center"/>
            <w:hideMark/>
          </w:tcPr>
          <w:p w14:paraId="65EC2FA3"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Number of Activities</w:t>
            </w:r>
          </w:p>
        </w:tc>
        <w:tc>
          <w:tcPr>
            <w:tcW w:w="825" w:type="pct"/>
            <w:vAlign w:val="center"/>
            <w:hideMark/>
          </w:tcPr>
          <w:p w14:paraId="30EC7D59"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Total Estimated Cost</w:t>
            </w:r>
          </w:p>
        </w:tc>
        <w:tc>
          <w:tcPr>
            <w:tcW w:w="437" w:type="pct"/>
            <w:tcBorders>
              <w:right w:val="single" w:sz="2" w:space="0" w:color="000000" w:themeColor="text1"/>
            </w:tcBorders>
            <w:vAlign w:val="center"/>
            <w:hideMark/>
          </w:tcPr>
          <w:p w14:paraId="7B917FD8"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SDGs</w:t>
            </w:r>
          </w:p>
        </w:tc>
      </w:tr>
      <w:tr w:rsidR="001A7FFD" w:rsidRPr="003C206F" w14:paraId="67791DD7" w14:textId="77777777" w:rsidTr="005A5556">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64177D60"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5.1 Balance public budget</w:t>
            </w:r>
          </w:p>
        </w:tc>
        <w:tc>
          <w:tcPr>
            <w:tcW w:w="533" w:type="pct"/>
            <w:vAlign w:val="center"/>
            <w:hideMark/>
          </w:tcPr>
          <w:p w14:paraId="7431B4EC"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645128">
              <w:rPr>
                <w:rFonts w:ascii="Roboto" w:hAnsi="Roboto" w:cs="Calibri"/>
                <w:b/>
                <w:color w:val="404040" w:themeColor="text1" w:themeTint="BF"/>
                <w:sz w:val="19"/>
                <w:szCs w:val="19"/>
                <w:lang w:val="en-GB"/>
              </w:rPr>
              <w:t>UN-Habitat</w:t>
            </w:r>
          </w:p>
        </w:tc>
        <w:tc>
          <w:tcPr>
            <w:tcW w:w="1750" w:type="pct"/>
            <w:vAlign w:val="center"/>
            <w:hideMark/>
          </w:tcPr>
          <w:p w14:paraId="31F6B4E6" w14:textId="77777777" w:rsidR="001A7FFD" w:rsidRPr="00422377" w:rsidRDefault="001A7FFD" w:rsidP="005A5556">
            <w:pPr>
              <w:spacing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Municipal, Rural Affairs, and Housing, State Properties General Authority</w:t>
            </w:r>
          </w:p>
          <w:p w14:paraId="6086BC6F" w14:textId="77777777" w:rsidR="001A7FFD" w:rsidRPr="00422377" w:rsidRDefault="001A7FFD" w:rsidP="005A5556">
            <w:pPr>
              <w:spacing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583" w:type="pct"/>
            <w:vAlign w:val="center"/>
            <w:hideMark/>
          </w:tcPr>
          <w:p w14:paraId="2BF7E935"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w:t>
            </w:r>
          </w:p>
        </w:tc>
        <w:tc>
          <w:tcPr>
            <w:tcW w:w="825" w:type="pct"/>
            <w:vAlign w:val="center"/>
            <w:hideMark/>
          </w:tcPr>
          <w:p w14:paraId="60BA6BE5"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$1,200,000</w:t>
            </w:r>
          </w:p>
        </w:tc>
        <w:tc>
          <w:tcPr>
            <w:tcW w:w="437" w:type="pct"/>
            <w:tcBorders>
              <w:right w:val="single" w:sz="2" w:space="0" w:color="000000" w:themeColor="text1"/>
            </w:tcBorders>
            <w:vAlign w:val="center"/>
            <w:hideMark/>
          </w:tcPr>
          <w:p w14:paraId="6ACA21A1"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8, 11</w:t>
            </w:r>
          </w:p>
        </w:tc>
      </w:tr>
      <w:tr w:rsidR="001A7FFD" w:rsidRPr="003C206F" w14:paraId="763718A0" w14:textId="77777777" w:rsidTr="005A5556">
        <w:trPr>
          <w:trHeight w:val="192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2C7AA0CA"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5.2 Improve performance of government apparatus</w:t>
            </w:r>
          </w:p>
        </w:tc>
        <w:tc>
          <w:tcPr>
            <w:tcW w:w="533" w:type="pct"/>
            <w:vAlign w:val="center"/>
            <w:hideMark/>
          </w:tcPr>
          <w:p w14:paraId="77773D7F" w14:textId="77777777" w:rsidR="001A7FFD" w:rsidRPr="004505D1"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OHCHR, UN-Habitat, UNDP, UNFPA, UNICEF, UNIDO</w:t>
            </w:r>
          </w:p>
        </w:tc>
        <w:tc>
          <w:tcPr>
            <w:tcW w:w="1750" w:type="pct"/>
            <w:vAlign w:val="center"/>
            <w:hideMark/>
          </w:tcPr>
          <w:p w14:paraId="347F225B" w14:textId="77777777" w:rsidR="001A7FFD" w:rsidRPr="00422377" w:rsidRDefault="001A7FFD" w:rsidP="005A5556">
            <w:pPr>
              <w:spacing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Human Resources and Social Development, Ministry of Municipal, Rural Affairs, and Housing, General Authority for Statistics, Ministry of Health, Ministry of Economy and Planning, Ministry of Foreign Affairs, Ministry of Environment, Water, and Agriculture, Ministry of Education, Ministry of Transportation, Ministry of Energy, Family Affairs Council, Saudi Human Rights Commission</w:t>
            </w:r>
          </w:p>
          <w:p w14:paraId="0C55C239" w14:textId="77777777" w:rsidR="001A7FFD" w:rsidRPr="00422377" w:rsidRDefault="001A7FFD" w:rsidP="005A5556">
            <w:pPr>
              <w:spacing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83" w:type="pct"/>
            <w:vAlign w:val="center"/>
            <w:hideMark/>
          </w:tcPr>
          <w:p w14:paraId="5108AAEB"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13</w:t>
            </w:r>
          </w:p>
        </w:tc>
        <w:tc>
          <w:tcPr>
            <w:tcW w:w="825" w:type="pct"/>
            <w:vAlign w:val="center"/>
            <w:hideMark/>
          </w:tcPr>
          <w:p w14:paraId="5491EBA3"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$12,443,963</w:t>
            </w:r>
          </w:p>
        </w:tc>
        <w:tc>
          <w:tcPr>
            <w:tcW w:w="437" w:type="pct"/>
            <w:tcBorders>
              <w:right w:val="single" w:sz="2" w:space="0" w:color="000000" w:themeColor="text1"/>
            </w:tcBorders>
            <w:vAlign w:val="center"/>
            <w:hideMark/>
          </w:tcPr>
          <w:p w14:paraId="7D09A620"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1, 3, 5, 6, 8, 9, 11, 13, 16, 17</w:t>
            </w:r>
          </w:p>
        </w:tc>
      </w:tr>
      <w:tr w:rsidR="001A7FFD" w:rsidRPr="003C206F" w14:paraId="7DEDEC16" w14:textId="77777777" w:rsidTr="005A5556">
        <w:trPr>
          <w:cnfStyle w:val="000000100000" w:firstRow="0" w:lastRow="0" w:firstColumn="0" w:lastColumn="0" w:oddVBand="0" w:evenVBand="0" w:oddHBand="1" w:evenHBand="0" w:firstRowFirstColumn="0" w:firstRowLastColumn="0" w:lastRowFirstColumn="0" w:lastRowLastColumn="0"/>
          <w:trHeight w:val="160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3AB8ADD5"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5.3 Engage effectively with citizens</w:t>
            </w:r>
          </w:p>
        </w:tc>
        <w:tc>
          <w:tcPr>
            <w:tcW w:w="533" w:type="pct"/>
            <w:vAlign w:val="center"/>
            <w:hideMark/>
          </w:tcPr>
          <w:p w14:paraId="59F19A05"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ILO, OHCHR, UNODC</w:t>
            </w:r>
          </w:p>
        </w:tc>
        <w:tc>
          <w:tcPr>
            <w:tcW w:w="1750" w:type="pct"/>
            <w:vAlign w:val="center"/>
            <w:hideMark/>
          </w:tcPr>
          <w:p w14:paraId="24AEA343" w14:textId="77777777" w:rsidR="001A7FFD" w:rsidRPr="00422377" w:rsidRDefault="001A7FFD" w:rsidP="005A5556">
            <w:pPr>
              <w:spacing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 xml:space="preserve">Ministry of Human Resources and Social Development, Ministry of Interior, Ministry of Economy and Planning, Saudi Human Rights Commission, King Abdulaziz Center for National Dialogue, National Anti-corruption Commission, </w:t>
            </w:r>
            <w:r>
              <w:rPr>
                <w:rFonts w:ascii="Roboto" w:hAnsi="Roboto" w:cs="Calibri"/>
                <w:b/>
                <w:color w:val="404040" w:themeColor="text1" w:themeTint="BF"/>
                <w:sz w:val="18"/>
                <w:szCs w:val="18"/>
                <w:lang w:val="en-GB"/>
              </w:rPr>
              <w:t>Federation</w:t>
            </w:r>
            <w:r w:rsidRPr="00422377">
              <w:rPr>
                <w:rFonts w:ascii="Roboto" w:hAnsi="Roboto" w:cs="Calibri"/>
                <w:b/>
                <w:color w:val="404040" w:themeColor="text1" w:themeTint="BF"/>
                <w:sz w:val="18"/>
                <w:szCs w:val="18"/>
                <w:lang w:val="en-GB"/>
              </w:rPr>
              <w:t xml:space="preserve"> of Saudi Chambers, The Public Prosecution, Saudi National Committee of Workers Committees</w:t>
            </w:r>
          </w:p>
        </w:tc>
        <w:tc>
          <w:tcPr>
            <w:tcW w:w="583" w:type="pct"/>
            <w:vAlign w:val="center"/>
            <w:hideMark/>
          </w:tcPr>
          <w:p w14:paraId="5AB9F4F7"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4</w:t>
            </w:r>
          </w:p>
        </w:tc>
        <w:tc>
          <w:tcPr>
            <w:tcW w:w="825" w:type="pct"/>
            <w:vAlign w:val="center"/>
            <w:hideMark/>
          </w:tcPr>
          <w:p w14:paraId="2AF78757"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$4,759,378</w:t>
            </w:r>
          </w:p>
        </w:tc>
        <w:tc>
          <w:tcPr>
            <w:tcW w:w="437" w:type="pct"/>
            <w:tcBorders>
              <w:right w:val="single" w:sz="2" w:space="0" w:color="000000" w:themeColor="text1"/>
            </w:tcBorders>
            <w:vAlign w:val="center"/>
            <w:hideMark/>
          </w:tcPr>
          <w:p w14:paraId="750FE5C0"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8, 16</w:t>
            </w:r>
          </w:p>
        </w:tc>
      </w:tr>
      <w:tr w:rsidR="001A7FFD" w:rsidRPr="003C206F" w14:paraId="5A83F74A"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2B86F337"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5.4 Protect vital resources of the nation</w:t>
            </w:r>
          </w:p>
          <w:p w14:paraId="732D5C1F" w14:textId="77777777" w:rsidR="001A7FFD" w:rsidRPr="00422377" w:rsidRDefault="001A7FFD" w:rsidP="005A5556">
            <w:pPr>
              <w:rPr>
                <w:rFonts w:ascii="Roboto" w:hAnsi="Roboto" w:cs="Calibri"/>
                <w:color w:val="404040" w:themeColor="text1" w:themeTint="BF"/>
                <w:sz w:val="19"/>
                <w:szCs w:val="19"/>
                <w:lang w:val="en-GB"/>
              </w:rPr>
            </w:pPr>
          </w:p>
          <w:p w14:paraId="2E33F49E" w14:textId="77777777" w:rsidR="001A7FFD" w:rsidRPr="00422377" w:rsidRDefault="001A7FFD" w:rsidP="005A5556">
            <w:pPr>
              <w:rPr>
                <w:rFonts w:ascii="Roboto" w:hAnsi="Roboto" w:cs="Calibri"/>
                <w:color w:val="404040" w:themeColor="text1" w:themeTint="BF"/>
                <w:sz w:val="19"/>
                <w:szCs w:val="19"/>
                <w:lang w:val="en-GB"/>
              </w:rPr>
            </w:pPr>
          </w:p>
        </w:tc>
        <w:tc>
          <w:tcPr>
            <w:tcW w:w="533" w:type="pct"/>
            <w:vAlign w:val="center"/>
            <w:hideMark/>
          </w:tcPr>
          <w:p w14:paraId="1A3C25D8" w14:textId="77777777" w:rsidR="001A7FFD" w:rsidRPr="00422377"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FAO</w:t>
            </w:r>
          </w:p>
        </w:tc>
        <w:tc>
          <w:tcPr>
            <w:tcW w:w="1750" w:type="pct"/>
            <w:vAlign w:val="center"/>
            <w:hideMark/>
          </w:tcPr>
          <w:p w14:paraId="10849E26" w14:textId="77777777" w:rsidR="001A7FFD" w:rsidRPr="00422377" w:rsidRDefault="001A7FFD" w:rsidP="005A5556">
            <w:pPr>
              <w:spacing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Environment, Water, and Agriculture, Saudi Irrigation Organization</w:t>
            </w:r>
          </w:p>
        </w:tc>
        <w:tc>
          <w:tcPr>
            <w:tcW w:w="583" w:type="pct"/>
            <w:vAlign w:val="center"/>
            <w:hideMark/>
          </w:tcPr>
          <w:p w14:paraId="4AB3C0A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2</w:t>
            </w:r>
          </w:p>
        </w:tc>
        <w:tc>
          <w:tcPr>
            <w:tcW w:w="825" w:type="pct"/>
            <w:vAlign w:val="center"/>
            <w:hideMark/>
          </w:tcPr>
          <w:p w14:paraId="6CF22D31"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$46,822,224</w:t>
            </w:r>
          </w:p>
        </w:tc>
        <w:tc>
          <w:tcPr>
            <w:tcW w:w="437" w:type="pct"/>
            <w:tcBorders>
              <w:right w:val="single" w:sz="2" w:space="0" w:color="000000" w:themeColor="text1"/>
            </w:tcBorders>
            <w:vAlign w:val="center"/>
            <w:hideMark/>
          </w:tcPr>
          <w:p w14:paraId="21BC93EF"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2, 6, 12, 14</w:t>
            </w:r>
          </w:p>
        </w:tc>
      </w:tr>
      <w:tr w:rsidR="001A7FFD" w:rsidRPr="003C206F" w14:paraId="61AB516B" w14:textId="77777777" w:rsidTr="005A5556">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13B2A5F5"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6.1 Enable citizen responsibility</w:t>
            </w:r>
          </w:p>
        </w:tc>
        <w:tc>
          <w:tcPr>
            <w:tcW w:w="533" w:type="pct"/>
            <w:vAlign w:val="center"/>
            <w:hideMark/>
          </w:tcPr>
          <w:p w14:paraId="479553D6"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645128">
              <w:rPr>
                <w:rFonts w:ascii="Roboto" w:hAnsi="Roboto" w:cs="Calibri"/>
                <w:b/>
                <w:color w:val="404040" w:themeColor="text1" w:themeTint="BF"/>
                <w:sz w:val="19"/>
                <w:szCs w:val="19"/>
                <w:lang w:val="en-GB"/>
              </w:rPr>
              <w:t>UN-Habitat</w:t>
            </w:r>
          </w:p>
        </w:tc>
        <w:tc>
          <w:tcPr>
            <w:tcW w:w="1750" w:type="pct"/>
            <w:noWrap/>
            <w:vAlign w:val="center"/>
            <w:hideMark/>
          </w:tcPr>
          <w:p w14:paraId="46BE1C8C" w14:textId="77777777" w:rsidR="001A7FFD" w:rsidRPr="00422377" w:rsidRDefault="001A7FFD" w:rsidP="005A5556">
            <w:pPr>
              <w:spacing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Municipal, Rural Affairs, and Housing</w:t>
            </w:r>
          </w:p>
        </w:tc>
        <w:tc>
          <w:tcPr>
            <w:tcW w:w="583" w:type="pct"/>
            <w:vAlign w:val="center"/>
            <w:hideMark/>
          </w:tcPr>
          <w:p w14:paraId="0659FE9B"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w:t>
            </w:r>
          </w:p>
        </w:tc>
        <w:tc>
          <w:tcPr>
            <w:tcW w:w="825" w:type="pct"/>
            <w:vAlign w:val="center"/>
            <w:hideMark/>
          </w:tcPr>
          <w:p w14:paraId="4589285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$300,000</w:t>
            </w:r>
          </w:p>
        </w:tc>
        <w:tc>
          <w:tcPr>
            <w:tcW w:w="437" w:type="pct"/>
            <w:tcBorders>
              <w:right w:val="single" w:sz="2" w:space="0" w:color="000000" w:themeColor="text1"/>
            </w:tcBorders>
            <w:vAlign w:val="center"/>
            <w:hideMark/>
          </w:tcPr>
          <w:p w14:paraId="39DCAB7B"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1, 4, 8</w:t>
            </w:r>
          </w:p>
        </w:tc>
      </w:tr>
      <w:tr w:rsidR="001A7FFD" w:rsidRPr="003C206F" w14:paraId="0CFF8B3B"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045F5782" w14:textId="77777777" w:rsidR="001A7FFD" w:rsidRPr="00422377" w:rsidRDefault="001A7FFD" w:rsidP="005A5556">
            <w:pPr>
              <w:rPr>
                <w:rFonts w:ascii="Roboto" w:hAnsi="Roboto" w:cs="Calibri"/>
                <w:color w:val="404040" w:themeColor="text1" w:themeTint="BF"/>
                <w:sz w:val="19"/>
                <w:szCs w:val="19"/>
                <w:lang w:val="en-GB"/>
              </w:rPr>
            </w:pPr>
          </w:p>
          <w:p w14:paraId="58ACBD57"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6.2 Enable social contribution of businesses</w:t>
            </w:r>
          </w:p>
        </w:tc>
        <w:tc>
          <w:tcPr>
            <w:tcW w:w="533" w:type="pct"/>
            <w:vAlign w:val="center"/>
            <w:hideMark/>
          </w:tcPr>
          <w:p w14:paraId="75E88566" w14:textId="77777777" w:rsidR="001A7FFD" w:rsidRPr="00422377" w:rsidRDefault="001A7FFD" w:rsidP="005A5556">
            <w:pPr>
              <w:spacing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OHCHR, UNDP</w:t>
            </w:r>
          </w:p>
        </w:tc>
        <w:tc>
          <w:tcPr>
            <w:tcW w:w="1750" w:type="pct"/>
            <w:vAlign w:val="center"/>
            <w:hideMark/>
          </w:tcPr>
          <w:p w14:paraId="74528F3D" w14:textId="77777777" w:rsidR="001A7FFD" w:rsidRPr="00422377" w:rsidRDefault="001A7FFD" w:rsidP="005A5556">
            <w:pPr>
              <w:spacing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Economy and Planning, Saudi Human Rights Commission, Digital Cooperation Organization</w:t>
            </w:r>
          </w:p>
        </w:tc>
        <w:tc>
          <w:tcPr>
            <w:tcW w:w="583" w:type="pct"/>
            <w:vAlign w:val="center"/>
            <w:hideMark/>
          </w:tcPr>
          <w:p w14:paraId="1E4E1AA9"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3</w:t>
            </w:r>
          </w:p>
        </w:tc>
        <w:tc>
          <w:tcPr>
            <w:tcW w:w="825" w:type="pct"/>
            <w:vAlign w:val="center"/>
            <w:hideMark/>
          </w:tcPr>
          <w:p w14:paraId="356196D8"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$14,507,449</w:t>
            </w:r>
          </w:p>
        </w:tc>
        <w:tc>
          <w:tcPr>
            <w:tcW w:w="437" w:type="pct"/>
            <w:tcBorders>
              <w:right w:val="single" w:sz="2" w:space="0" w:color="000000" w:themeColor="text1"/>
            </w:tcBorders>
            <w:vAlign w:val="center"/>
            <w:hideMark/>
          </w:tcPr>
          <w:p w14:paraId="7BE4A0F3"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8, 16</w:t>
            </w:r>
          </w:p>
        </w:tc>
      </w:tr>
      <w:tr w:rsidR="001A7FFD" w:rsidRPr="003C206F" w14:paraId="000C4AAF" w14:textId="77777777" w:rsidTr="005A5556">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tcBorders>
            <w:vAlign w:val="center"/>
            <w:hideMark/>
          </w:tcPr>
          <w:p w14:paraId="428D2123" w14:textId="77777777" w:rsidR="001A7FFD" w:rsidRPr="00422377" w:rsidRDefault="001A7FFD" w:rsidP="005A5556">
            <w:pPr>
              <w:rPr>
                <w:rFonts w:ascii="Roboto" w:hAnsi="Roboto" w:cs="Calibri"/>
                <w:color w:val="404040" w:themeColor="text1" w:themeTint="BF"/>
                <w:sz w:val="19"/>
                <w:szCs w:val="19"/>
                <w:lang w:val="en-GB"/>
              </w:rPr>
            </w:pPr>
          </w:p>
          <w:p w14:paraId="3B3D193A" w14:textId="77777777" w:rsidR="001A7FFD" w:rsidRPr="00422377" w:rsidRDefault="001A7FFD" w:rsidP="005A5556">
            <w:pP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6.3 Enable larger impact of non-profit sector</w:t>
            </w:r>
          </w:p>
        </w:tc>
        <w:tc>
          <w:tcPr>
            <w:tcW w:w="533" w:type="pct"/>
            <w:vAlign w:val="center"/>
            <w:hideMark/>
          </w:tcPr>
          <w:p w14:paraId="31FD93EC" w14:textId="77777777" w:rsidR="001A7FFD" w:rsidRPr="00422377" w:rsidRDefault="001A7FFD" w:rsidP="005A5556">
            <w:pPr>
              <w:spacing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OHCHR, UN-</w:t>
            </w:r>
            <w:r w:rsidRPr="00645128">
              <w:rPr>
                <w:rFonts w:ascii="Roboto" w:hAnsi="Roboto" w:cs="Calibri"/>
                <w:b/>
                <w:color w:val="404040" w:themeColor="text1" w:themeTint="BF"/>
                <w:sz w:val="19"/>
                <w:szCs w:val="19"/>
                <w:lang w:val="en-GB"/>
              </w:rPr>
              <w:t>Habitat</w:t>
            </w:r>
          </w:p>
        </w:tc>
        <w:tc>
          <w:tcPr>
            <w:tcW w:w="1750" w:type="pct"/>
            <w:vAlign w:val="center"/>
            <w:hideMark/>
          </w:tcPr>
          <w:p w14:paraId="68209402" w14:textId="77777777" w:rsidR="001A7FFD" w:rsidRPr="00422377" w:rsidRDefault="001A7FFD" w:rsidP="005A5556">
            <w:pPr>
              <w:spacing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Municipal, Rural Affairs, and Housing, Ministry of Human Resources and Social Development, Saudi Human Rights Commission</w:t>
            </w:r>
          </w:p>
        </w:tc>
        <w:tc>
          <w:tcPr>
            <w:tcW w:w="583" w:type="pct"/>
            <w:vAlign w:val="center"/>
            <w:hideMark/>
          </w:tcPr>
          <w:p w14:paraId="44DAF14F"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3</w:t>
            </w:r>
          </w:p>
        </w:tc>
        <w:tc>
          <w:tcPr>
            <w:tcW w:w="825" w:type="pct"/>
            <w:vAlign w:val="center"/>
            <w:hideMark/>
          </w:tcPr>
          <w:p w14:paraId="1E6842B6"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$1,014,353</w:t>
            </w:r>
          </w:p>
        </w:tc>
        <w:tc>
          <w:tcPr>
            <w:tcW w:w="437" w:type="pct"/>
            <w:tcBorders>
              <w:right w:val="single" w:sz="2" w:space="0" w:color="000000" w:themeColor="text1"/>
            </w:tcBorders>
            <w:vAlign w:val="center"/>
            <w:hideMark/>
          </w:tcPr>
          <w:p w14:paraId="20D3FFE2" w14:textId="77777777" w:rsidR="001A7FFD" w:rsidRPr="00422377"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1, 4, 8, 16</w:t>
            </w:r>
          </w:p>
        </w:tc>
      </w:tr>
      <w:tr w:rsidR="001A7FFD" w:rsidRPr="003C206F" w14:paraId="3C64ED69" w14:textId="77777777" w:rsidTr="005A5556">
        <w:trPr>
          <w:trHeight w:val="340"/>
          <w:jc w:val="center"/>
        </w:trPr>
        <w:tc>
          <w:tcPr>
            <w:cnfStyle w:val="001000000000" w:firstRow="0" w:lastRow="0" w:firstColumn="1" w:lastColumn="0" w:oddVBand="0" w:evenVBand="0" w:oddHBand="0" w:evenHBand="0" w:firstRowFirstColumn="0" w:firstRowLastColumn="0" w:lastRowFirstColumn="0" w:lastRowLastColumn="0"/>
            <w:tcW w:w="872" w:type="pct"/>
            <w:tcBorders>
              <w:left w:val="single" w:sz="2" w:space="0" w:color="000000" w:themeColor="text1"/>
              <w:bottom w:val="single" w:sz="2" w:space="0" w:color="000000" w:themeColor="text1"/>
            </w:tcBorders>
            <w:vAlign w:val="center"/>
            <w:hideMark/>
          </w:tcPr>
          <w:p w14:paraId="7299DD49" w14:textId="77777777" w:rsidR="001A7FFD" w:rsidRPr="00422377" w:rsidRDefault="001A7FFD" w:rsidP="005A5556">
            <w:pPr>
              <w:jc w:val="center"/>
              <w:rPr>
                <w:rFonts w:ascii="Roboto" w:hAnsi="Roboto" w:cs="Calibri"/>
                <w:color w:val="404040" w:themeColor="text1" w:themeTint="BF"/>
                <w:sz w:val="19"/>
                <w:szCs w:val="19"/>
                <w:lang w:val="en-GB"/>
              </w:rPr>
            </w:pPr>
            <w:r w:rsidRPr="00422377">
              <w:rPr>
                <w:rFonts w:ascii="Roboto" w:hAnsi="Roboto" w:cs="Calibri"/>
                <w:color w:val="404040" w:themeColor="text1" w:themeTint="BF"/>
                <w:sz w:val="19"/>
                <w:szCs w:val="19"/>
                <w:lang w:val="en-GB"/>
              </w:rPr>
              <w:t>Total</w:t>
            </w:r>
          </w:p>
        </w:tc>
        <w:tc>
          <w:tcPr>
            <w:tcW w:w="533" w:type="pct"/>
            <w:tcBorders>
              <w:bottom w:val="single" w:sz="2" w:space="0" w:color="000000" w:themeColor="text1"/>
            </w:tcBorders>
            <w:noWrap/>
            <w:vAlign w:val="center"/>
            <w:hideMark/>
          </w:tcPr>
          <w:p w14:paraId="13CB1ED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w:t>
            </w:r>
          </w:p>
        </w:tc>
        <w:tc>
          <w:tcPr>
            <w:tcW w:w="1750" w:type="pct"/>
            <w:tcBorders>
              <w:bottom w:val="single" w:sz="2" w:space="0" w:color="000000" w:themeColor="text1"/>
            </w:tcBorders>
            <w:noWrap/>
            <w:vAlign w:val="center"/>
            <w:hideMark/>
          </w:tcPr>
          <w:p w14:paraId="726A5C17" w14:textId="77777777" w:rsidR="001A7FFD" w:rsidRPr="00422377" w:rsidRDefault="001A7FFD" w:rsidP="005A5556">
            <w:pPr>
              <w:spacing w:after="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w:t>
            </w:r>
          </w:p>
        </w:tc>
        <w:tc>
          <w:tcPr>
            <w:tcW w:w="583" w:type="pct"/>
            <w:tcBorders>
              <w:bottom w:val="single" w:sz="2" w:space="0" w:color="000000" w:themeColor="text1"/>
            </w:tcBorders>
            <w:noWrap/>
            <w:vAlign w:val="center"/>
            <w:hideMark/>
          </w:tcPr>
          <w:p w14:paraId="755BDD95"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27</w:t>
            </w:r>
          </w:p>
        </w:tc>
        <w:tc>
          <w:tcPr>
            <w:tcW w:w="825" w:type="pct"/>
            <w:tcBorders>
              <w:bottom w:val="single" w:sz="2" w:space="0" w:color="000000" w:themeColor="text1"/>
            </w:tcBorders>
            <w:noWrap/>
            <w:vAlign w:val="center"/>
            <w:hideMark/>
          </w:tcPr>
          <w:p w14:paraId="60508773"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$81,047,367</w:t>
            </w:r>
          </w:p>
        </w:tc>
        <w:tc>
          <w:tcPr>
            <w:tcW w:w="437" w:type="pct"/>
            <w:tcBorders>
              <w:bottom w:val="single" w:sz="2" w:space="0" w:color="000000" w:themeColor="text1"/>
              <w:right w:val="single" w:sz="2" w:space="0" w:color="000000" w:themeColor="text1"/>
            </w:tcBorders>
            <w:noWrap/>
            <w:vAlign w:val="center"/>
            <w:hideMark/>
          </w:tcPr>
          <w:p w14:paraId="0C693D64" w14:textId="77777777" w:rsidR="001A7FFD" w:rsidRPr="00422377"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w:t>
            </w:r>
          </w:p>
        </w:tc>
      </w:tr>
    </w:tbl>
    <w:p w14:paraId="06F4A4F2" w14:textId="77777777" w:rsidR="001A7FFD" w:rsidRPr="003C206F" w:rsidRDefault="001A7FFD" w:rsidP="001A7FFD">
      <w:pPr>
        <w:rPr>
          <w:rFonts w:ascii="Roboto" w:hAnsi="Roboto" w:cs="Calibri"/>
          <w:b/>
          <w:bCs/>
          <w:color w:val="404040" w:themeColor="text1" w:themeTint="BF"/>
          <w:sz w:val="22"/>
          <w:szCs w:val="22"/>
          <w:lang w:val="en-GB"/>
        </w:rPr>
      </w:pPr>
    </w:p>
    <w:p w14:paraId="72689C8C" w14:textId="4AAE527E"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lastRenderedPageBreak/>
        <w:t xml:space="preserve">In terms of Pillar 3 of the KSA’s Vision 2030, there are 27 activities at the UN level slated for the 2022 to 2026 period that total an estimated cost of $81,047,367. The highest proportion of UN activities within Pillar 3 falls under </w:t>
      </w:r>
      <w:r w:rsidR="00E719CA">
        <w:rPr>
          <w:rFonts w:ascii="Roboto" w:hAnsi="Roboto"/>
          <w:color w:val="404040" w:themeColor="text1" w:themeTint="BF"/>
          <w:sz w:val="21"/>
          <w:szCs w:val="21"/>
          <w:lang w:val="en-GB"/>
        </w:rPr>
        <w:t>the</w:t>
      </w:r>
      <w:r w:rsidR="00E719CA" w:rsidRPr="00E719CA">
        <w:rPr>
          <w:rFonts w:ascii="Roboto" w:hAnsi="Roboto" w:cs="Calibri"/>
          <w:color w:val="404040" w:themeColor="text1" w:themeTint="BF"/>
          <w:sz w:val="21"/>
          <w:szCs w:val="21"/>
          <w:lang w:val="en-GB"/>
        </w:rPr>
        <w:t xml:space="preserv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2030’s 5.2 Improve Performance of Government Apparatus, which is associated with 13 activities (48% of Pillar 3’s total). The largest financial commitment is poised to be associated with </w:t>
      </w:r>
      <w:r w:rsidRPr="003C206F">
        <w:rPr>
          <w:rFonts w:ascii="Roboto" w:hAnsi="Roboto" w:cs="Calibri"/>
          <w:color w:val="404040" w:themeColor="text1" w:themeTint="BF"/>
          <w:sz w:val="21"/>
          <w:szCs w:val="21"/>
          <w:lang w:val="en-GB"/>
        </w:rPr>
        <w:t>5.4 Protect Vital Resources of the Nation</w:t>
      </w:r>
      <w:r w:rsidRPr="003C206F">
        <w:rPr>
          <w:rFonts w:ascii="Roboto" w:hAnsi="Roboto"/>
          <w:color w:val="404040" w:themeColor="text1" w:themeTint="BF"/>
          <w:sz w:val="21"/>
          <w:szCs w:val="21"/>
          <w:lang w:val="en-GB"/>
        </w:rPr>
        <w:t xml:space="preserve">, the activities of which have a total estimated cost of $46,822,224 (58% of Pillar 3’s total). </w:t>
      </w:r>
    </w:p>
    <w:p w14:paraId="324A8F63" w14:textId="77777777"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716B8B6C" w14:textId="2F05FF29" w:rsidR="001A7FFD" w:rsidRPr="003C206F"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3C206F">
        <w:rPr>
          <w:rFonts w:ascii="Roboto" w:hAnsi="Roboto"/>
          <w:color w:val="404040" w:themeColor="text1" w:themeTint="BF"/>
          <w:sz w:val="21"/>
          <w:szCs w:val="21"/>
          <w:lang w:val="en-GB"/>
        </w:rPr>
        <w:t>Nine AFPs have joined forces with 21 Saudi partner organizations to tackle the challenges pertinent to this domain. The most active AFPs across the UN activities in Pillar 3 are UN-</w:t>
      </w:r>
      <w:r w:rsidRPr="00645128">
        <w:rPr>
          <w:rFonts w:ascii="Roboto" w:hAnsi="Roboto"/>
          <w:color w:val="404040" w:themeColor="text1" w:themeTint="BF"/>
          <w:sz w:val="21"/>
          <w:szCs w:val="21"/>
          <w:lang w:val="en-GB"/>
        </w:rPr>
        <w:t>Habitat</w:t>
      </w:r>
      <w:r w:rsidRPr="003C206F">
        <w:rPr>
          <w:rFonts w:ascii="Roboto" w:hAnsi="Roboto"/>
          <w:color w:val="404040" w:themeColor="text1" w:themeTint="BF"/>
          <w:sz w:val="21"/>
          <w:szCs w:val="21"/>
          <w:lang w:val="en-GB"/>
        </w:rPr>
        <w:t xml:space="preserve"> and the OHCHR, which are involved in activities spanning four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3C206F">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The most active Saudi partner organizations in Pillar 3 are the Ministry of Municipal, Rural Affairs, and Housing, and the Saudi Human Rights Commission, both of which span four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3C206F">
        <w:rPr>
          <w:rFonts w:ascii="Roboto" w:hAnsi="Roboto"/>
          <w:color w:val="404040" w:themeColor="text1" w:themeTint="BF"/>
          <w:sz w:val="21"/>
          <w:szCs w:val="21"/>
          <w:lang w:val="en-GB"/>
        </w:rPr>
        <w:t>Vision 2030 Level 2</w:t>
      </w:r>
      <w:r>
        <w:rPr>
          <w:rFonts w:ascii="Roboto" w:hAnsi="Roboto"/>
          <w:color w:val="404040" w:themeColor="text1" w:themeTint="BF"/>
          <w:sz w:val="21"/>
          <w:szCs w:val="21"/>
          <w:lang w:val="en-GB"/>
        </w:rPr>
        <w:t xml:space="preserve"> ‘branch</w:t>
      </w:r>
      <w:r w:rsidRPr="003C206F">
        <w:rPr>
          <w:rFonts w:ascii="Roboto" w:hAnsi="Roboto"/>
          <w:color w:val="404040" w:themeColor="text1" w:themeTint="BF"/>
          <w:sz w:val="21"/>
          <w:szCs w:val="21"/>
          <w:lang w:val="en-GB"/>
        </w:rPr>
        <w:t xml:space="preserve"> objectives</w:t>
      </w:r>
      <w:r>
        <w:rPr>
          <w:rFonts w:ascii="Roboto" w:hAnsi="Roboto"/>
          <w:color w:val="404040" w:themeColor="text1" w:themeTint="BF"/>
          <w:sz w:val="21"/>
          <w:szCs w:val="21"/>
          <w:lang w:val="en-GB"/>
        </w:rPr>
        <w:t>’</w:t>
      </w:r>
      <w:r w:rsidRPr="003C206F">
        <w:rPr>
          <w:rFonts w:ascii="Roboto" w:hAnsi="Roboto"/>
          <w:color w:val="404040" w:themeColor="text1" w:themeTint="BF"/>
          <w:sz w:val="21"/>
          <w:szCs w:val="21"/>
          <w:lang w:val="en-GB"/>
        </w:rPr>
        <w:t xml:space="preserve">. </w:t>
      </w:r>
    </w:p>
    <w:p w14:paraId="45D0B2DC" w14:textId="77777777" w:rsidR="001A7FFD" w:rsidRDefault="001A7FFD" w:rsidP="001A7FFD">
      <w:pPr>
        <w:rPr>
          <w:rFonts w:ascii="Roboto" w:hAnsi="Roboto"/>
          <w:b/>
          <w:color w:val="404040" w:themeColor="text1" w:themeTint="BF"/>
          <w:lang w:val="en-GB"/>
        </w:rPr>
      </w:pPr>
      <w:r>
        <w:rPr>
          <w:rFonts w:ascii="Roboto" w:hAnsi="Roboto"/>
          <w:b/>
          <w:color w:val="404040" w:themeColor="text1" w:themeTint="BF"/>
          <w:lang w:val="en-GB"/>
        </w:rPr>
        <w:br w:type="page"/>
      </w:r>
    </w:p>
    <w:tbl>
      <w:tblPr>
        <w:tblStyle w:val="PlainTable3"/>
        <w:tblW w:w="5193" w:type="pct"/>
        <w:jc w:val="center"/>
        <w:tblLayout w:type="fixed"/>
        <w:tblLook w:val="04A0" w:firstRow="1" w:lastRow="0" w:firstColumn="1" w:lastColumn="0" w:noHBand="0" w:noVBand="1"/>
      </w:tblPr>
      <w:tblGrid>
        <w:gridCol w:w="1619"/>
        <w:gridCol w:w="991"/>
        <w:gridCol w:w="3430"/>
        <w:gridCol w:w="1080"/>
        <w:gridCol w:w="1353"/>
        <w:gridCol w:w="898"/>
      </w:tblGrid>
      <w:tr w:rsidR="001A7FFD" w:rsidRPr="003C206F" w14:paraId="77465A19" w14:textId="77777777" w:rsidTr="005A5556">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2" w:space="0" w:color="000000" w:themeColor="text1"/>
              <w:left w:val="single" w:sz="2" w:space="0" w:color="000000" w:themeColor="text1"/>
              <w:right w:val="single" w:sz="2" w:space="0" w:color="000000" w:themeColor="text1"/>
            </w:tcBorders>
            <w:noWrap/>
            <w:vAlign w:val="center"/>
            <w:hideMark/>
          </w:tcPr>
          <w:p w14:paraId="726A68E0" w14:textId="77777777" w:rsidR="001A7FFD" w:rsidRPr="003C206F" w:rsidRDefault="001A7FFD" w:rsidP="005A5556">
            <w:pPr>
              <w:pStyle w:val="KSASubHead1-Blue"/>
              <w:spacing w:before="120" w:after="120"/>
              <w:ind w:left="144"/>
              <w:rPr>
                <w:rFonts w:ascii="Roboto" w:hAnsi="Roboto"/>
                <w:color w:val="404040" w:themeColor="text1" w:themeTint="BF"/>
                <w:sz w:val="22"/>
                <w:szCs w:val="22"/>
              </w:rPr>
            </w:pPr>
            <w:r w:rsidRPr="003C206F">
              <w:rPr>
                <w:rFonts w:ascii="Roboto" w:hAnsi="Roboto"/>
                <w:color w:val="404040" w:themeColor="text1" w:themeTint="BF"/>
                <w:sz w:val="22"/>
                <w:szCs w:val="22"/>
              </w:rPr>
              <w:lastRenderedPageBreak/>
              <w:t xml:space="preserve">table </w:t>
            </w:r>
            <w:r>
              <w:rPr>
                <w:rFonts w:ascii="Roboto" w:hAnsi="Roboto"/>
                <w:color w:val="404040" w:themeColor="text1" w:themeTint="BF"/>
                <w:sz w:val="22"/>
                <w:szCs w:val="22"/>
              </w:rPr>
              <w:t>C</w:t>
            </w:r>
            <w:r w:rsidRPr="003C206F">
              <w:rPr>
                <w:rFonts w:ascii="Roboto" w:hAnsi="Roboto"/>
                <w:color w:val="404040" w:themeColor="text1" w:themeTint="BF"/>
                <w:sz w:val="22"/>
                <w:szCs w:val="22"/>
              </w:rPr>
              <w:t>.5 results matrix for pillar 4, Cross-cutting and self-standing</w:t>
            </w:r>
          </w:p>
        </w:tc>
      </w:tr>
      <w:tr w:rsidR="001A7FFD" w:rsidRPr="003C206F" w14:paraId="592A8090" w14:textId="77777777" w:rsidTr="005A55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noWrap/>
            <w:vAlign w:val="center"/>
            <w:hideMark/>
          </w:tcPr>
          <w:p w14:paraId="60FB73AE" w14:textId="77777777" w:rsidR="001A7FFD" w:rsidRPr="003C206F" w:rsidRDefault="001A7FFD" w:rsidP="005A5556">
            <w:pPr>
              <w:jc w:val="cente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SDGs:</w:t>
            </w:r>
          </w:p>
        </w:tc>
        <w:tc>
          <w:tcPr>
            <w:tcW w:w="4136" w:type="pct"/>
            <w:gridSpan w:val="5"/>
            <w:tcBorders>
              <w:right w:val="single" w:sz="2" w:space="0" w:color="000000" w:themeColor="text1"/>
            </w:tcBorders>
            <w:vAlign w:val="center"/>
            <w:hideMark/>
          </w:tcPr>
          <w:p w14:paraId="2991CB21"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1, 4, 5, 8, 10, 11, 16</w:t>
            </w:r>
          </w:p>
        </w:tc>
      </w:tr>
      <w:tr w:rsidR="001A7FFD" w:rsidRPr="003C206F" w14:paraId="012DC28A" w14:textId="77777777" w:rsidTr="005A5556">
        <w:trPr>
          <w:trHeight w:val="66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4E92EA68" w14:textId="77777777" w:rsidR="001A7FFD" w:rsidRPr="003C206F" w:rsidRDefault="001A7FFD" w:rsidP="005A5556">
            <w:pPr>
              <w:jc w:val="cente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Vision PLUS:</w:t>
            </w:r>
          </w:p>
        </w:tc>
        <w:tc>
          <w:tcPr>
            <w:tcW w:w="529" w:type="pct"/>
            <w:vAlign w:val="center"/>
            <w:hideMark/>
          </w:tcPr>
          <w:p w14:paraId="7537664E"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AFPs</w:t>
            </w:r>
          </w:p>
        </w:tc>
        <w:tc>
          <w:tcPr>
            <w:tcW w:w="1830" w:type="pct"/>
            <w:vAlign w:val="center"/>
            <w:hideMark/>
          </w:tcPr>
          <w:p w14:paraId="695CA5F6"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Partner(s)</w:t>
            </w:r>
          </w:p>
        </w:tc>
        <w:tc>
          <w:tcPr>
            <w:tcW w:w="576" w:type="pct"/>
            <w:vAlign w:val="center"/>
            <w:hideMark/>
          </w:tcPr>
          <w:p w14:paraId="2257B04D"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Number of Activities</w:t>
            </w:r>
          </w:p>
        </w:tc>
        <w:tc>
          <w:tcPr>
            <w:tcW w:w="722" w:type="pct"/>
            <w:vAlign w:val="center"/>
            <w:hideMark/>
          </w:tcPr>
          <w:p w14:paraId="19133CF6"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Total Estimated Cost</w:t>
            </w:r>
          </w:p>
        </w:tc>
        <w:tc>
          <w:tcPr>
            <w:tcW w:w="479" w:type="pct"/>
            <w:tcBorders>
              <w:right w:val="single" w:sz="2" w:space="0" w:color="000000" w:themeColor="text1"/>
            </w:tcBorders>
            <w:vAlign w:val="center"/>
            <w:hideMark/>
          </w:tcPr>
          <w:p w14:paraId="12166BAF"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SDGs</w:t>
            </w:r>
          </w:p>
        </w:tc>
      </w:tr>
      <w:tr w:rsidR="001A7FFD" w:rsidRPr="003C206F" w14:paraId="6983DBB1" w14:textId="77777777" w:rsidTr="005A5556">
        <w:trPr>
          <w:cnfStyle w:val="000000100000" w:firstRow="0" w:lastRow="0" w:firstColumn="0" w:lastColumn="0" w:oddVBand="0" w:evenVBand="0" w:oddHBand="1" w:evenHBand="0" w:firstRowFirstColumn="0" w:firstRowLastColumn="0" w:lastRowFirstColumn="0" w:lastRowLastColumn="0"/>
          <w:trHeight w:val="1278"/>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538CD0D1"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 xml:space="preserve">7.1 </w:t>
            </w:r>
            <w:r w:rsidRPr="00422377">
              <w:rPr>
                <w:rFonts w:ascii="Roboto" w:hAnsi="Roboto" w:cs="Calibri"/>
                <w:color w:val="404040" w:themeColor="text1" w:themeTint="BF"/>
                <w:sz w:val="19"/>
                <w:szCs w:val="19"/>
                <w:lang w:val="en-GB"/>
              </w:rPr>
              <w:t>Increasing involvement in the international system of human rights</w:t>
            </w:r>
          </w:p>
        </w:tc>
        <w:tc>
          <w:tcPr>
            <w:tcW w:w="529" w:type="pct"/>
            <w:vAlign w:val="center"/>
            <w:hideMark/>
          </w:tcPr>
          <w:p w14:paraId="5C33D3F7" w14:textId="77777777" w:rsidR="001A7FFD" w:rsidRPr="00422377" w:rsidRDefault="001A7FFD" w:rsidP="005A5556">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OHCHR, UNHCR, UNICEF</w:t>
            </w:r>
          </w:p>
        </w:tc>
        <w:tc>
          <w:tcPr>
            <w:tcW w:w="1830" w:type="pct"/>
            <w:vAlign w:val="center"/>
            <w:hideMark/>
          </w:tcPr>
          <w:p w14:paraId="4B57A191" w14:textId="77777777" w:rsidR="001A7FFD" w:rsidRPr="00422377" w:rsidRDefault="001A7FFD" w:rsidP="005A5556">
            <w:pPr>
              <w:spacing w:before="20"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Saudi Human Rights Commission, Naif Arab University for Security Sciences</w:t>
            </w:r>
          </w:p>
        </w:tc>
        <w:tc>
          <w:tcPr>
            <w:tcW w:w="576" w:type="pct"/>
            <w:vAlign w:val="center"/>
            <w:hideMark/>
          </w:tcPr>
          <w:p w14:paraId="7BDE14A9"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4</w:t>
            </w:r>
          </w:p>
        </w:tc>
        <w:tc>
          <w:tcPr>
            <w:tcW w:w="722" w:type="pct"/>
            <w:vAlign w:val="center"/>
            <w:hideMark/>
          </w:tcPr>
          <w:p w14:paraId="11CB8132"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$501,183</w:t>
            </w:r>
          </w:p>
        </w:tc>
        <w:tc>
          <w:tcPr>
            <w:tcW w:w="479" w:type="pct"/>
            <w:tcBorders>
              <w:right w:val="single" w:sz="2" w:space="0" w:color="000000" w:themeColor="text1"/>
            </w:tcBorders>
            <w:vAlign w:val="center"/>
            <w:hideMark/>
          </w:tcPr>
          <w:p w14:paraId="472820EC"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5, 10, 16</w:t>
            </w:r>
          </w:p>
        </w:tc>
      </w:tr>
      <w:tr w:rsidR="001A7FFD" w:rsidRPr="003C206F" w14:paraId="75CC052F" w14:textId="77777777" w:rsidTr="005A5556">
        <w:trPr>
          <w:trHeight w:val="96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02900CF7"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 xml:space="preserve">7.2 </w:t>
            </w:r>
            <w:r w:rsidRPr="00422377">
              <w:rPr>
                <w:rFonts w:ascii="Roboto" w:hAnsi="Roboto" w:cs="Calibri"/>
                <w:color w:val="404040" w:themeColor="text1" w:themeTint="BF"/>
                <w:sz w:val="19"/>
                <w:szCs w:val="19"/>
                <w:lang w:val="en-GB"/>
              </w:rPr>
              <w:t>Enhancing the quality of courts’ rulings and composition</w:t>
            </w:r>
          </w:p>
        </w:tc>
        <w:tc>
          <w:tcPr>
            <w:tcW w:w="529" w:type="pct"/>
            <w:vAlign w:val="center"/>
            <w:hideMark/>
          </w:tcPr>
          <w:p w14:paraId="6B4E1647" w14:textId="77777777" w:rsidR="001A7FFD" w:rsidRPr="00422377" w:rsidRDefault="001A7FFD" w:rsidP="005A5556">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OHCHR, UNODC</w:t>
            </w:r>
          </w:p>
        </w:tc>
        <w:tc>
          <w:tcPr>
            <w:tcW w:w="1830" w:type="pct"/>
            <w:vAlign w:val="center"/>
            <w:hideMark/>
          </w:tcPr>
          <w:p w14:paraId="2DB984A1" w14:textId="77777777" w:rsidR="001A7FFD" w:rsidRPr="00422377" w:rsidRDefault="001A7FFD" w:rsidP="005A5556">
            <w:pPr>
              <w:spacing w:before="20"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Ministry of Justice, The Public Prosecution, Ministry of Interior, Ministry of Human Resources and Social Development, Saudi Human Rights Commission, Anti-Money Laundering Permanent Committee, Saudi Bar Association</w:t>
            </w:r>
          </w:p>
          <w:p w14:paraId="4121CF02" w14:textId="77777777" w:rsidR="001A7FFD" w:rsidRPr="00422377" w:rsidRDefault="001A7FFD" w:rsidP="005A5556">
            <w:pPr>
              <w:spacing w:before="20"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76" w:type="pct"/>
            <w:vAlign w:val="center"/>
            <w:hideMark/>
          </w:tcPr>
          <w:p w14:paraId="490F543F"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4</w:t>
            </w:r>
          </w:p>
        </w:tc>
        <w:tc>
          <w:tcPr>
            <w:tcW w:w="722" w:type="pct"/>
            <w:vAlign w:val="center"/>
            <w:hideMark/>
          </w:tcPr>
          <w:p w14:paraId="6C1FCA87"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$8,088,606</w:t>
            </w:r>
          </w:p>
        </w:tc>
        <w:tc>
          <w:tcPr>
            <w:tcW w:w="479" w:type="pct"/>
            <w:tcBorders>
              <w:right w:val="single" w:sz="2" w:space="0" w:color="000000" w:themeColor="text1"/>
            </w:tcBorders>
            <w:vAlign w:val="center"/>
            <w:hideMark/>
          </w:tcPr>
          <w:p w14:paraId="1AA98E7D"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10, 16</w:t>
            </w:r>
          </w:p>
        </w:tc>
      </w:tr>
      <w:tr w:rsidR="001A7FFD" w:rsidRPr="003C206F" w14:paraId="2F0176B0" w14:textId="77777777" w:rsidTr="005A5556">
        <w:trPr>
          <w:cnfStyle w:val="000000100000" w:firstRow="0" w:lastRow="0" w:firstColumn="0" w:lastColumn="0" w:oddVBand="0" w:evenVBand="0" w:oddHBand="1" w:evenHBand="0" w:firstRowFirstColumn="0" w:firstRowLastColumn="0" w:lastRowFirstColumn="0" w:lastRowLastColumn="0"/>
          <w:trHeight w:val="128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2EEFC99F"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 xml:space="preserve">7.3 </w:t>
            </w:r>
            <w:r w:rsidRPr="00422377">
              <w:rPr>
                <w:rFonts w:ascii="Roboto" w:hAnsi="Roboto" w:cs="Calibri"/>
                <w:color w:val="404040" w:themeColor="text1" w:themeTint="BF"/>
                <w:sz w:val="19"/>
                <w:szCs w:val="19"/>
                <w:lang w:val="en-GB"/>
              </w:rPr>
              <w:t>Broadening social inclusion and protection of minorities</w:t>
            </w:r>
          </w:p>
        </w:tc>
        <w:tc>
          <w:tcPr>
            <w:tcW w:w="529" w:type="pct"/>
            <w:vAlign w:val="center"/>
            <w:hideMark/>
          </w:tcPr>
          <w:p w14:paraId="4016A1D1" w14:textId="77777777" w:rsidR="001A7FFD" w:rsidRPr="004505D1" w:rsidRDefault="001A7FFD" w:rsidP="005A5556">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IOM, OHCHR, UN-Habitat, UNFPA, UNHCR, UNICEF</w:t>
            </w:r>
          </w:p>
        </w:tc>
        <w:tc>
          <w:tcPr>
            <w:tcW w:w="1830" w:type="pct"/>
            <w:vAlign w:val="center"/>
            <w:hideMark/>
          </w:tcPr>
          <w:p w14:paraId="3F4AAC96" w14:textId="77777777" w:rsidR="001A7FFD" w:rsidRPr="00422377" w:rsidRDefault="001A7FFD" w:rsidP="005A5556">
            <w:pPr>
              <w:spacing w:before="20"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Saudi Human Rights Commission, Ministry of Human Resources and Social Development, Ministry of Interior, Ministry of Justice, Ministry of Health, Family Affairs Council, Ministry of Municipal, Rural Affairs, and Housing, National Family Safety Program</w:t>
            </w:r>
          </w:p>
          <w:p w14:paraId="2ECBD248" w14:textId="77777777" w:rsidR="001A7FFD" w:rsidRPr="00422377" w:rsidRDefault="001A7FFD" w:rsidP="005A5556">
            <w:pPr>
              <w:spacing w:before="20"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p>
        </w:tc>
        <w:tc>
          <w:tcPr>
            <w:tcW w:w="576" w:type="pct"/>
            <w:vAlign w:val="center"/>
            <w:hideMark/>
          </w:tcPr>
          <w:p w14:paraId="5C4EDB30"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14</w:t>
            </w:r>
          </w:p>
        </w:tc>
        <w:tc>
          <w:tcPr>
            <w:tcW w:w="722" w:type="pct"/>
            <w:vAlign w:val="center"/>
            <w:hideMark/>
          </w:tcPr>
          <w:p w14:paraId="583BA1C5"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$5,528,803</w:t>
            </w:r>
          </w:p>
        </w:tc>
        <w:tc>
          <w:tcPr>
            <w:tcW w:w="479" w:type="pct"/>
            <w:tcBorders>
              <w:right w:val="single" w:sz="2" w:space="0" w:color="000000" w:themeColor="text1"/>
            </w:tcBorders>
            <w:vAlign w:val="center"/>
            <w:hideMark/>
          </w:tcPr>
          <w:p w14:paraId="02B9DA89"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1, 4, 5, 8, 10, 11, 16</w:t>
            </w:r>
          </w:p>
        </w:tc>
      </w:tr>
      <w:tr w:rsidR="001A7FFD" w:rsidRPr="003C206F" w14:paraId="4DB57443" w14:textId="77777777" w:rsidTr="005A5556">
        <w:trPr>
          <w:trHeight w:val="192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66330B44"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 xml:space="preserve">7.4 </w:t>
            </w:r>
            <w:r w:rsidRPr="00422377">
              <w:rPr>
                <w:rFonts w:ascii="Roboto" w:hAnsi="Roboto" w:cs="Calibri"/>
                <w:color w:val="404040" w:themeColor="text1" w:themeTint="BF"/>
                <w:sz w:val="19"/>
                <w:szCs w:val="19"/>
                <w:lang w:val="en-GB"/>
              </w:rPr>
              <w:t>Enhancing gender equality and women’s rights and resilience</w:t>
            </w:r>
          </w:p>
        </w:tc>
        <w:tc>
          <w:tcPr>
            <w:tcW w:w="529" w:type="pct"/>
            <w:vAlign w:val="center"/>
            <w:hideMark/>
          </w:tcPr>
          <w:p w14:paraId="4F440B91" w14:textId="77777777" w:rsidR="001A7FFD" w:rsidRPr="004505D1" w:rsidRDefault="001A7FFD" w:rsidP="005A5556">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OHCHR, UN-Habitat, UN Women, UNDP, UNFPA, UNHCR, UNICEF, UNODC</w:t>
            </w:r>
          </w:p>
        </w:tc>
        <w:tc>
          <w:tcPr>
            <w:tcW w:w="1830" w:type="pct"/>
            <w:vAlign w:val="center"/>
            <w:hideMark/>
          </w:tcPr>
          <w:p w14:paraId="007C87AE" w14:textId="77777777" w:rsidR="001A7FFD" w:rsidRPr="00422377" w:rsidRDefault="001A7FFD" w:rsidP="005A5556">
            <w:pPr>
              <w:spacing w:before="20"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National Family Safety Program, Ministry of Human Resources and Social Development, Ministry of Justice, Ministry of Municipal, Rural Affairs, and Housing, Ministry of Foreign Affairs, Ministry of Health, Ministry of Interior, Ministry of Education, Family Affairs Council, Saudi Human Rights Commission, General Authority for Statistics, The Public Prosecution, AlJanoub Local Women NGO in Aseer</w:t>
            </w:r>
          </w:p>
          <w:p w14:paraId="446DD50F" w14:textId="77777777" w:rsidR="001A7FFD" w:rsidRPr="00422377" w:rsidRDefault="001A7FFD" w:rsidP="005A5556">
            <w:pPr>
              <w:spacing w:before="20"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p>
        </w:tc>
        <w:tc>
          <w:tcPr>
            <w:tcW w:w="576" w:type="pct"/>
            <w:vAlign w:val="center"/>
            <w:hideMark/>
          </w:tcPr>
          <w:p w14:paraId="449378CA"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14</w:t>
            </w:r>
          </w:p>
        </w:tc>
        <w:tc>
          <w:tcPr>
            <w:tcW w:w="722" w:type="pct"/>
            <w:vAlign w:val="center"/>
            <w:hideMark/>
          </w:tcPr>
          <w:p w14:paraId="688DC89A"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$5,257,596</w:t>
            </w:r>
          </w:p>
        </w:tc>
        <w:tc>
          <w:tcPr>
            <w:tcW w:w="479" w:type="pct"/>
            <w:tcBorders>
              <w:right w:val="single" w:sz="2" w:space="0" w:color="000000" w:themeColor="text1"/>
            </w:tcBorders>
            <w:vAlign w:val="center"/>
            <w:hideMark/>
          </w:tcPr>
          <w:p w14:paraId="2255B961"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4, 5, 8, 10, 11, 16</w:t>
            </w:r>
          </w:p>
        </w:tc>
      </w:tr>
      <w:tr w:rsidR="001A7FFD" w:rsidRPr="003C206F" w14:paraId="5A7EF1E0" w14:textId="77777777" w:rsidTr="005A5556">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453A06C1"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 xml:space="preserve">7.5 </w:t>
            </w:r>
            <w:r w:rsidRPr="00422377">
              <w:rPr>
                <w:rFonts w:ascii="Roboto" w:hAnsi="Roboto" w:cs="Calibri"/>
                <w:color w:val="404040" w:themeColor="text1" w:themeTint="BF"/>
                <w:sz w:val="19"/>
                <w:szCs w:val="19"/>
                <w:lang w:val="en-GB"/>
              </w:rPr>
              <w:t>Upholding migrant and domestic workers' rights and resilience</w:t>
            </w:r>
          </w:p>
        </w:tc>
        <w:tc>
          <w:tcPr>
            <w:tcW w:w="529" w:type="pct"/>
            <w:vAlign w:val="center"/>
            <w:hideMark/>
          </w:tcPr>
          <w:p w14:paraId="5E2200D7" w14:textId="77777777" w:rsidR="001A7FFD" w:rsidRPr="004505D1" w:rsidRDefault="001A7FFD" w:rsidP="005A5556">
            <w:pPr>
              <w:spacing w:before="120" w:after="120"/>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fr-FR"/>
              </w:rPr>
            </w:pPr>
            <w:r w:rsidRPr="004505D1">
              <w:rPr>
                <w:rFonts w:ascii="Roboto" w:hAnsi="Roboto" w:cs="Calibri"/>
                <w:b/>
                <w:color w:val="404040" w:themeColor="text1" w:themeTint="BF"/>
                <w:sz w:val="19"/>
                <w:szCs w:val="19"/>
                <w:lang w:val="fr-FR"/>
              </w:rPr>
              <w:t>ILO, IOM, UN-Habitat, UNHCR, UNODC</w:t>
            </w:r>
          </w:p>
        </w:tc>
        <w:tc>
          <w:tcPr>
            <w:tcW w:w="1830" w:type="pct"/>
            <w:vAlign w:val="center"/>
            <w:hideMark/>
          </w:tcPr>
          <w:p w14:paraId="59871311" w14:textId="77777777" w:rsidR="001A7FFD" w:rsidRPr="00422377" w:rsidRDefault="001A7FFD" w:rsidP="005A5556">
            <w:pPr>
              <w:spacing w:before="20"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 xml:space="preserve">Saudi Human Rights Commission, Ministry of Human Resources and Social Development, Ministry of Interior, Ministry of Justice, National Committee to Combat Trafficking, The Public Prosecution, Ministry of Municipal, Rural Affairs, and Housing, Ministry of Foreign Affairs, </w:t>
            </w:r>
            <w:r>
              <w:rPr>
                <w:rFonts w:ascii="Roboto" w:hAnsi="Roboto" w:cs="Calibri"/>
                <w:b/>
                <w:color w:val="404040" w:themeColor="text1" w:themeTint="BF"/>
                <w:sz w:val="18"/>
                <w:szCs w:val="18"/>
                <w:lang w:val="en-GB"/>
              </w:rPr>
              <w:t>Federation</w:t>
            </w:r>
            <w:r w:rsidRPr="00422377">
              <w:rPr>
                <w:rFonts w:ascii="Roboto" w:hAnsi="Roboto" w:cs="Calibri"/>
                <w:b/>
                <w:color w:val="404040" w:themeColor="text1" w:themeTint="BF"/>
                <w:sz w:val="18"/>
                <w:szCs w:val="18"/>
                <w:lang w:val="en-GB"/>
              </w:rPr>
              <w:t xml:space="preserve"> of Saudi Chambers, Saudi National Committee of Workers Committees</w:t>
            </w:r>
          </w:p>
        </w:tc>
        <w:tc>
          <w:tcPr>
            <w:tcW w:w="576" w:type="pct"/>
            <w:vAlign w:val="center"/>
            <w:hideMark/>
          </w:tcPr>
          <w:p w14:paraId="2DF360A6"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13</w:t>
            </w:r>
          </w:p>
        </w:tc>
        <w:tc>
          <w:tcPr>
            <w:tcW w:w="722" w:type="pct"/>
            <w:vAlign w:val="center"/>
            <w:hideMark/>
          </w:tcPr>
          <w:p w14:paraId="6CCF823D"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$8,338,200</w:t>
            </w:r>
          </w:p>
        </w:tc>
        <w:tc>
          <w:tcPr>
            <w:tcW w:w="479" w:type="pct"/>
            <w:tcBorders>
              <w:right w:val="single" w:sz="2" w:space="0" w:color="000000" w:themeColor="text1"/>
            </w:tcBorders>
            <w:vAlign w:val="center"/>
            <w:hideMark/>
          </w:tcPr>
          <w:p w14:paraId="6FC4585E"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1, 4, 5, 8, 10, 11, 16</w:t>
            </w:r>
          </w:p>
        </w:tc>
      </w:tr>
      <w:tr w:rsidR="001A7FFD" w:rsidRPr="003C206F" w14:paraId="142CEC43" w14:textId="77777777" w:rsidTr="005A5556">
        <w:trPr>
          <w:trHeight w:val="64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tcBorders>
            <w:vAlign w:val="center"/>
            <w:hideMark/>
          </w:tcPr>
          <w:p w14:paraId="53121596" w14:textId="77777777" w:rsidR="001A7FFD" w:rsidRPr="003C206F" w:rsidRDefault="001A7FFD" w:rsidP="005A5556">
            <w:pP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7.6</w:t>
            </w:r>
            <w:r>
              <w:rPr>
                <w:rFonts w:ascii="Roboto" w:hAnsi="Roboto" w:cs="Calibri"/>
                <w:color w:val="404040" w:themeColor="text1" w:themeTint="BF"/>
                <w:sz w:val="19"/>
                <w:szCs w:val="19"/>
                <w:lang w:val="en-GB"/>
              </w:rPr>
              <w:t xml:space="preserve"> </w:t>
            </w:r>
            <w:r w:rsidRPr="00422377">
              <w:rPr>
                <w:rFonts w:ascii="Roboto" w:hAnsi="Roboto" w:cs="Calibri"/>
                <w:color w:val="404040" w:themeColor="text1" w:themeTint="BF"/>
                <w:sz w:val="19"/>
                <w:szCs w:val="19"/>
                <w:lang w:val="en-GB"/>
              </w:rPr>
              <w:t>Strengthening relief and humanitarian assistance abroad</w:t>
            </w:r>
          </w:p>
        </w:tc>
        <w:tc>
          <w:tcPr>
            <w:tcW w:w="529" w:type="pct"/>
            <w:vAlign w:val="center"/>
            <w:hideMark/>
          </w:tcPr>
          <w:p w14:paraId="77D2F4F4" w14:textId="77777777" w:rsidR="001A7FFD" w:rsidRPr="00422377" w:rsidRDefault="001A7FFD" w:rsidP="005A5556">
            <w:pPr>
              <w:spacing w:before="120" w:after="120"/>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422377">
              <w:rPr>
                <w:rFonts w:ascii="Roboto" w:hAnsi="Roboto" w:cs="Calibri"/>
                <w:b/>
                <w:color w:val="404040" w:themeColor="text1" w:themeTint="BF"/>
                <w:sz w:val="19"/>
                <w:szCs w:val="19"/>
                <w:lang w:val="en-GB"/>
              </w:rPr>
              <w:t>IOM</w:t>
            </w:r>
          </w:p>
        </w:tc>
        <w:tc>
          <w:tcPr>
            <w:tcW w:w="1830" w:type="pct"/>
            <w:noWrap/>
            <w:vAlign w:val="center"/>
            <w:hideMark/>
          </w:tcPr>
          <w:p w14:paraId="730C3032" w14:textId="77777777" w:rsidR="001A7FFD" w:rsidRPr="00422377" w:rsidRDefault="001A7FFD" w:rsidP="005A5556">
            <w:pPr>
              <w:spacing w:before="20" w:after="20"/>
              <w:jc w:val="both"/>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8"/>
                <w:szCs w:val="18"/>
                <w:lang w:val="en-GB"/>
              </w:rPr>
            </w:pPr>
            <w:r w:rsidRPr="00422377">
              <w:rPr>
                <w:rFonts w:ascii="Roboto" w:hAnsi="Roboto" w:cs="Calibri"/>
                <w:b/>
                <w:color w:val="404040" w:themeColor="text1" w:themeTint="BF"/>
                <w:sz w:val="18"/>
                <w:szCs w:val="18"/>
                <w:lang w:val="en-GB"/>
              </w:rPr>
              <w:t>King Salman Humanitarian Aid and Relief Center</w:t>
            </w:r>
          </w:p>
        </w:tc>
        <w:tc>
          <w:tcPr>
            <w:tcW w:w="576" w:type="pct"/>
            <w:vAlign w:val="center"/>
            <w:hideMark/>
          </w:tcPr>
          <w:p w14:paraId="35A1DC3C"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2</w:t>
            </w:r>
          </w:p>
        </w:tc>
        <w:tc>
          <w:tcPr>
            <w:tcW w:w="722" w:type="pct"/>
            <w:vAlign w:val="center"/>
            <w:hideMark/>
          </w:tcPr>
          <w:p w14:paraId="1D8ABD32"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$152,000</w:t>
            </w:r>
          </w:p>
        </w:tc>
        <w:tc>
          <w:tcPr>
            <w:tcW w:w="479" w:type="pct"/>
            <w:tcBorders>
              <w:right w:val="single" w:sz="2" w:space="0" w:color="000000" w:themeColor="text1"/>
            </w:tcBorders>
            <w:vAlign w:val="center"/>
            <w:hideMark/>
          </w:tcPr>
          <w:p w14:paraId="6E88E102" w14:textId="77777777" w:rsidR="001A7FFD" w:rsidRPr="003C206F" w:rsidRDefault="001A7FFD" w:rsidP="005A5556">
            <w:pPr>
              <w:jc w:val="center"/>
              <w:cnfStyle w:val="000000000000" w:firstRow="0" w:lastRow="0" w:firstColumn="0" w:lastColumn="0" w:oddVBand="0" w:evenVBand="0" w:oddHBand="0"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1, 5, 10</w:t>
            </w:r>
          </w:p>
        </w:tc>
      </w:tr>
      <w:tr w:rsidR="001A7FFD" w:rsidRPr="003C206F" w14:paraId="5B8A9267" w14:textId="77777777" w:rsidTr="005A555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864" w:type="pct"/>
            <w:tcBorders>
              <w:left w:val="single" w:sz="2" w:space="0" w:color="000000" w:themeColor="text1"/>
              <w:bottom w:val="single" w:sz="2" w:space="0" w:color="000000" w:themeColor="text1"/>
            </w:tcBorders>
            <w:vAlign w:val="center"/>
            <w:hideMark/>
          </w:tcPr>
          <w:p w14:paraId="1A70746C" w14:textId="77777777" w:rsidR="001A7FFD" w:rsidRPr="003C206F" w:rsidRDefault="001A7FFD" w:rsidP="005A5556">
            <w:pPr>
              <w:jc w:val="center"/>
              <w:rPr>
                <w:rFonts w:ascii="Roboto" w:hAnsi="Roboto" w:cs="Calibri"/>
                <w:color w:val="404040" w:themeColor="text1" w:themeTint="BF"/>
                <w:sz w:val="19"/>
                <w:szCs w:val="19"/>
                <w:lang w:val="en-GB"/>
              </w:rPr>
            </w:pPr>
            <w:r w:rsidRPr="003C206F">
              <w:rPr>
                <w:rFonts w:ascii="Roboto" w:hAnsi="Roboto" w:cs="Calibri"/>
                <w:color w:val="404040" w:themeColor="text1" w:themeTint="BF"/>
                <w:sz w:val="19"/>
                <w:szCs w:val="19"/>
                <w:lang w:val="en-GB"/>
              </w:rPr>
              <w:t>Total</w:t>
            </w:r>
          </w:p>
        </w:tc>
        <w:tc>
          <w:tcPr>
            <w:tcW w:w="529" w:type="pct"/>
            <w:tcBorders>
              <w:bottom w:val="single" w:sz="2" w:space="0" w:color="000000" w:themeColor="text1"/>
            </w:tcBorders>
            <w:noWrap/>
            <w:vAlign w:val="center"/>
            <w:hideMark/>
          </w:tcPr>
          <w:p w14:paraId="672F21E8"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w:t>
            </w:r>
          </w:p>
        </w:tc>
        <w:tc>
          <w:tcPr>
            <w:tcW w:w="1830" w:type="pct"/>
            <w:tcBorders>
              <w:bottom w:val="single" w:sz="2" w:space="0" w:color="000000" w:themeColor="text1"/>
            </w:tcBorders>
            <w:noWrap/>
            <w:vAlign w:val="center"/>
            <w:hideMark/>
          </w:tcPr>
          <w:p w14:paraId="1634B6D9" w14:textId="77777777" w:rsidR="001A7FFD" w:rsidRPr="003C206F" w:rsidRDefault="001A7FFD" w:rsidP="005A5556">
            <w:pPr>
              <w:spacing w:before="20" w:after="20"/>
              <w:jc w:val="both"/>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w:t>
            </w:r>
          </w:p>
        </w:tc>
        <w:tc>
          <w:tcPr>
            <w:tcW w:w="576" w:type="pct"/>
            <w:tcBorders>
              <w:bottom w:val="single" w:sz="2" w:space="0" w:color="000000" w:themeColor="text1"/>
            </w:tcBorders>
            <w:noWrap/>
            <w:vAlign w:val="center"/>
            <w:hideMark/>
          </w:tcPr>
          <w:p w14:paraId="7F575614"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51</w:t>
            </w:r>
          </w:p>
        </w:tc>
        <w:tc>
          <w:tcPr>
            <w:tcW w:w="722" w:type="pct"/>
            <w:tcBorders>
              <w:bottom w:val="single" w:sz="2" w:space="0" w:color="000000" w:themeColor="text1"/>
            </w:tcBorders>
            <w:noWrap/>
            <w:vAlign w:val="center"/>
            <w:hideMark/>
          </w:tcPr>
          <w:p w14:paraId="548E46C2"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$27,866,388</w:t>
            </w:r>
          </w:p>
        </w:tc>
        <w:tc>
          <w:tcPr>
            <w:tcW w:w="479" w:type="pct"/>
            <w:tcBorders>
              <w:bottom w:val="single" w:sz="2" w:space="0" w:color="000000" w:themeColor="text1"/>
              <w:right w:val="single" w:sz="2" w:space="0" w:color="000000" w:themeColor="text1"/>
            </w:tcBorders>
            <w:noWrap/>
            <w:vAlign w:val="center"/>
            <w:hideMark/>
          </w:tcPr>
          <w:p w14:paraId="713D664D" w14:textId="77777777" w:rsidR="001A7FFD" w:rsidRPr="003C206F" w:rsidRDefault="001A7FFD" w:rsidP="005A5556">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color w:val="404040" w:themeColor="text1" w:themeTint="BF"/>
                <w:sz w:val="19"/>
                <w:szCs w:val="19"/>
                <w:lang w:val="en-GB"/>
              </w:rPr>
            </w:pPr>
            <w:r w:rsidRPr="003C206F">
              <w:rPr>
                <w:rFonts w:ascii="Roboto" w:hAnsi="Roboto" w:cs="Calibri"/>
                <w:b/>
                <w:color w:val="404040" w:themeColor="text1" w:themeTint="BF"/>
                <w:sz w:val="19"/>
                <w:szCs w:val="19"/>
                <w:lang w:val="en-GB"/>
              </w:rPr>
              <w:t>-</w:t>
            </w:r>
          </w:p>
        </w:tc>
      </w:tr>
    </w:tbl>
    <w:p w14:paraId="6E1F7220" w14:textId="77777777" w:rsidR="001A7FFD" w:rsidRPr="00422377" w:rsidRDefault="001A7FFD" w:rsidP="001A7FFD">
      <w:pPr>
        <w:jc w:val="both"/>
        <w:rPr>
          <w:rFonts w:ascii="Roboto" w:hAnsi="Roboto"/>
          <w:b/>
          <w:color w:val="404040" w:themeColor="text1" w:themeTint="BF"/>
          <w:lang w:val="en-GB"/>
        </w:rPr>
      </w:pPr>
    </w:p>
    <w:p w14:paraId="476A275E" w14:textId="39E98EAA" w:rsidR="001A7FFD" w:rsidRPr="00422377"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422377">
        <w:rPr>
          <w:rFonts w:ascii="Roboto" w:hAnsi="Roboto"/>
          <w:color w:val="404040" w:themeColor="text1" w:themeTint="BF"/>
          <w:sz w:val="21"/>
          <w:szCs w:val="21"/>
          <w:lang w:val="en-GB"/>
        </w:rPr>
        <w:lastRenderedPageBreak/>
        <w:t xml:space="preserve">In terms of Pillar 4 (the UN’s addition to the KSA’s Vision 2030 scheme that cuts across all three Pillars and also stands alone), there are 51 activities at the UN level slated for the 2022 to 2026 period that total an estimated cost of $27,866,388. The highest proportion of UN activities within Pillar 4 falls under </w:t>
      </w:r>
      <w:r w:rsidR="00E719CA">
        <w:rPr>
          <w:rFonts w:ascii="Roboto" w:hAnsi="Roboto"/>
          <w:color w:val="404040" w:themeColor="text1" w:themeTint="BF"/>
          <w:sz w:val="21"/>
          <w:szCs w:val="21"/>
          <w:lang w:val="en-GB"/>
        </w:rPr>
        <w:t xml:space="preserve">the </w:t>
      </w:r>
      <w:r w:rsidR="00E719CA">
        <w:rPr>
          <w:rFonts w:ascii="Roboto" w:hAnsi="Roboto" w:cs="Calibri"/>
          <w:color w:val="404040" w:themeColor="text1" w:themeTint="BF"/>
          <w:sz w:val="21"/>
          <w:szCs w:val="21"/>
          <w:lang w:val="en-GB"/>
        </w:rPr>
        <w:t xml:space="preserve">KSA’s </w:t>
      </w:r>
      <w:r w:rsidRPr="00422377">
        <w:rPr>
          <w:rFonts w:ascii="Roboto" w:hAnsi="Roboto"/>
          <w:color w:val="404040" w:themeColor="text1" w:themeTint="BF"/>
          <w:sz w:val="21"/>
          <w:szCs w:val="21"/>
          <w:lang w:val="en-GB"/>
        </w:rPr>
        <w:t xml:space="preserve">Vision 2030’s 7.3 Broadening Social Inclusion and Protection of Minorities and 7.4 Enhancing Gender Equality and Women’s Rights and Resilience, both of which are associated with 14 activities (27% of Pillar 4’s total). The largest financial commitment is poised to be associated with </w:t>
      </w:r>
      <w:r w:rsidRPr="00422377">
        <w:rPr>
          <w:rFonts w:ascii="Roboto" w:hAnsi="Roboto" w:cs="Calibri"/>
          <w:color w:val="404040" w:themeColor="text1" w:themeTint="BF"/>
          <w:sz w:val="21"/>
          <w:szCs w:val="21"/>
          <w:lang w:val="en-GB"/>
        </w:rPr>
        <w:t>7.5 Upholding Migrant and Domestic Workers’ Rights and Resilience</w:t>
      </w:r>
      <w:r w:rsidRPr="00422377">
        <w:rPr>
          <w:rFonts w:ascii="Roboto" w:hAnsi="Roboto"/>
          <w:color w:val="404040" w:themeColor="text1" w:themeTint="BF"/>
          <w:sz w:val="21"/>
          <w:szCs w:val="21"/>
          <w:lang w:val="en-GB"/>
        </w:rPr>
        <w:t xml:space="preserve">, the activities of which have a total estimated cost of $8,338,200 (30% of Pillar 4’s total). </w:t>
      </w:r>
    </w:p>
    <w:p w14:paraId="4E7510CC" w14:textId="77777777" w:rsidR="001A7FFD" w:rsidRPr="00422377"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p>
    <w:p w14:paraId="7C123F2B" w14:textId="4D4B661A" w:rsidR="001A7FFD" w:rsidRPr="00422377" w:rsidRDefault="001A7FFD" w:rsidP="001A7FFD">
      <w:pPr>
        <w:pStyle w:val="NormalWeb"/>
        <w:spacing w:before="0" w:beforeAutospacing="0" w:after="0" w:afterAutospacing="0"/>
        <w:jc w:val="both"/>
        <w:rPr>
          <w:rFonts w:ascii="Roboto" w:hAnsi="Roboto"/>
          <w:color w:val="404040" w:themeColor="text1" w:themeTint="BF"/>
          <w:sz w:val="21"/>
          <w:szCs w:val="21"/>
          <w:lang w:val="en-GB"/>
        </w:rPr>
      </w:pPr>
      <w:r w:rsidRPr="00422377">
        <w:rPr>
          <w:rFonts w:ascii="Roboto" w:hAnsi="Roboto"/>
          <w:color w:val="404040" w:themeColor="text1" w:themeTint="BF"/>
          <w:sz w:val="21"/>
          <w:szCs w:val="21"/>
          <w:lang w:val="en-GB"/>
        </w:rPr>
        <w:t xml:space="preserve">Eleven AFPs have joined forces with 21 Saudi partner organizations to tackle the challenges pertinent to this domain. The most active AFPs across the UN activities in Pillar 4 are the OHCHR and the UNHCR, both of which are involved in activities spanning four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422377">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422377">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422377">
        <w:rPr>
          <w:rFonts w:ascii="Roboto" w:hAnsi="Roboto"/>
          <w:color w:val="404040" w:themeColor="text1" w:themeTint="BF"/>
          <w:sz w:val="21"/>
          <w:szCs w:val="21"/>
          <w:lang w:val="en-GB"/>
        </w:rPr>
        <w:t xml:space="preserve">. The most active Saudi partner organization in Pillar 4 is the Saudi Human Rights Commission, which spans five </w:t>
      </w:r>
      <w:r w:rsidR="00E719CA">
        <w:rPr>
          <w:rFonts w:ascii="Roboto" w:hAnsi="Roboto"/>
          <w:color w:val="404040" w:themeColor="text1" w:themeTint="BF"/>
          <w:sz w:val="21"/>
          <w:szCs w:val="21"/>
          <w:lang w:val="en-GB"/>
        </w:rPr>
        <w:t xml:space="preserve">of the </w:t>
      </w:r>
      <w:r w:rsidR="00E719CA">
        <w:rPr>
          <w:rFonts w:ascii="Roboto" w:hAnsi="Roboto" w:cs="Calibri"/>
          <w:color w:val="404040" w:themeColor="text1" w:themeTint="BF"/>
          <w:sz w:val="21"/>
          <w:szCs w:val="21"/>
          <w:lang w:val="en-GB"/>
        </w:rPr>
        <w:t xml:space="preserve">KSA’s </w:t>
      </w:r>
      <w:r w:rsidRPr="00422377">
        <w:rPr>
          <w:rFonts w:ascii="Roboto" w:hAnsi="Roboto"/>
          <w:color w:val="404040" w:themeColor="text1" w:themeTint="BF"/>
          <w:sz w:val="21"/>
          <w:szCs w:val="21"/>
          <w:lang w:val="en-GB"/>
        </w:rPr>
        <w:t xml:space="preserve">Vision 2030 Level 2 </w:t>
      </w:r>
      <w:r>
        <w:rPr>
          <w:rFonts w:ascii="Roboto" w:hAnsi="Roboto"/>
          <w:color w:val="404040" w:themeColor="text1" w:themeTint="BF"/>
          <w:sz w:val="21"/>
          <w:szCs w:val="21"/>
          <w:lang w:val="en-GB"/>
        </w:rPr>
        <w:t xml:space="preserve">‘branch </w:t>
      </w:r>
      <w:r w:rsidRPr="00422377">
        <w:rPr>
          <w:rFonts w:ascii="Roboto" w:hAnsi="Roboto"/>
          <w:color w:val="404040" w:themeColor="text1" w:themeTint="BF"/>
          <w:sz w:val="21"/>
          <w:szCs w:val="21"/>
          <w:lang w:val="en-GB"/>
        </w:rPr>
        <w:t>objectives</w:t>
      </w:r>
      <w:r>
        <w:rPr>
          <w:rFonts w:ascii="Roboto" w:hAnsi="Roboto"/>
          <w:color w:val="404040" w:themeColor="text1" w:themeTint="BF"/>
          <w:sz w:val="21"/>
          <w:szCs w:val="21"/>
          <w:lang w:val="en-GB"/>
        </w:rPr>
        <w:t>’</w:t>
      </w:r>
      <w:r w:rsidRPr="00422377">
        <w:rPr>
          <w:rFonts w:ascii="Roboto" w:hAnsi="Roboto"/>
          <w:color w:val="404040" w:themeColor="text1" w:themeTint="BF"/>
          <w:sz w:val="21"/>
          <w:szCs w:val="21"/>
          <w:lang w:val="en-GB"/>
        </w:rPr>
        <w:t>.</w:t>
      </w:r>
    </w:p>
    <w:p w14:paraId="630E4563" w14:textId="77777777" w:rsidR="001A7FFD" w:rsidRPr="00422377" w:rsidRDefault="001A7FFD" w:rsidP="001A7FFD">
      <w:pPr>
        <w:jc w:val="both"/>
        <w:rPr>
          <w:rFonts w:ascii="Roboto" w:hAnsi="Roboto"/>
          <w:color w:val="404040" w:themeColor="text1" w:themeTint="BF"/>
          <w:sz w:val="21"/>
          <w:szCs w:val="21"/>
          <w:lang w:val="en-GB"/>
        </w:rPr>
      </w:pPr>
    </w:p>
    <w:p w14:paraId="3588CF0B" w14:textId="22AFA6D6" w:rsidR="001A7FFD" w:rsidRPr="00422377" w:rsidRDefault="001A7FFD" w:rsidP="001A7FFD">
      <w:pPr>
        <w:pStyle w:val="NormalWeb"/>
        <w:spacing w:before="0" w:beforeAutospacing="0" w:after="0" w:afterAutospacing="0"/>
        <w:jc w:val="both"/>
        <w:rPr>
          <w:rFonts w:ascii="Roboto" w:hAnsi="Roboto" w:cs="Calibri"/>
          <w:color w:val="404040" w:themeColor="text1" w:themeTint="BF"/>
          <w:sz w:val="21"/>
          <w:szCs w:val="21"/>
          <w:lang w:val="en-GB"/>
        </w:rPr>
      </w:pPr>
      <w:r w:rsidRPr="00422377">
        <w:rPr>
          <w:rFonts w:ascii="Roboto" w:hAnsi="Roboto" w:cs="Calibri"/>
          <w:color w:val="404040" w:themeColor="text1" w:themeTint="BF"/>
          <w:sz w:val="21"/>
          <w:szCs w:val="21"/>
          <w:lang w:val="en-GB"/>
        </w:rPr>
        <w:t xml:space="preserve">Below, Figure </w:t>
      </w:r>
      <w:r>
        <w:rPr>
          <w:rFonts w:ascii="Roboto" w:hAnsi="Roboto" w:cs="Calibri"/>
          <w:color w:val="404040" w:themeColor="text1" w:themeTint="BF"/>
          <w:sz w:val="21"/>
          <w:szCs w:val="21"/>
          <w:lang w:val="en-GB"/>
        </w:rPr>
        <w:t>C</w:t>
      </w:r>
      <w:r w:rsidRPr="00422377">
        <w:rPr>
          <w:rFonts w:ascii="Roboto" w:hAnsi="Roboto" w:cs="Calibri"/>
          <w:color w:val="404040" w:themeColor="text1" w:themeTint="BF"/>
          <w:sz w:val="21"/>
          <w:szCs w:val="21"/>
          <w:lang w:val="en-GB"/>
        </w:rPr>
        <w:t>.1 presents an alternative Solution Tree (see Chapter 2.</w:t>
      </w:r>
      <w:r>
        <w:rPr>
          <w:rFonts w:ascii="Roboto" w:hAnsi="Roboto" w:cs="Calibri"/>
          <w:color w:val="404040" w:themeColor="text1" w:themeTint="BF"/>
          <w:sz w:val="21"/>
          <w:szCs w:val="21"/>
          <w:lang w:val="en-GB"/>
        </w:rPr>
        <w:t>2</w:t>
      </w:r>
      <w:r w:rsidRPr="00422377">
        <w:rPr>
          <w:rFonts w:ascii="Roboto" w:hAnsi="Roboto" w:cs="Calibri"/>
          <w:color w:val="404040" w:themeColor="text1" w:themeTint="BF"/>
          <w:sz w:val="21"/>
          <w:szCs w:val="21"/>
          <w:lang w:val="en-GB"/>
        </w:rPr>
        <w:t xml:space="preserve">) in order to further articulate the relationship between </w:t>
      </w:r>
      <w:r w:rsidR="00E719CA">
        <w:rPr>
          <w:rFonts w:ascii="Roboto" w:hAnsi="Roboto" w:cs="Calibri"/>
          <w:color w:val="404040" w:themeColor="text1" w:themeTint="BF"/>
          <w:sz w:val="21"/>
          <w:szCs w:val="21"/>
          <w:lang w:val="en-GB"/>
        </w:rPr>
        <w:t xml:space="preserve">the KSA’s </w:t>
      </w:r>
      <w:r w:rsidRPr="00422377">
        <w:rPr>
          <w:rFonts w:ascii="Roboto" w:hAnsi="Roboto" w:cs="Calibri"/>
          <w:color w:val="404040" w:themeColor="text1" w:themeTint="BF"/>
          <w:sz w:val="21"/>
          <w:szCs w:val="21"/>
          <w:lang w:val="en-GB"/>
        </w:rPr>
        <w:t xml:space="preserve">Vision 2030’s Level 3 </w:t>
      </w:r>
      <w:r>
        <w:rPr>
          <w:rFonts w:ascii="Roboto" w:hAnsi="Roboto" w:cs="Calibri"/>
          <w:color w:val="404040" w:themeColor="text1" w:themeTint="BF"/>
          <w:sz w:val="21"/>
          <w:szCs w:val="21"/>
          <w:lang w:val="en-GB"/>
        </w:rPr>
        <w:t>‘</w:t>
      </w:r>
      <w:r w:rsidRPr="00422377">
        <w:rPr>
          <w:rFonts w:ascii="Roboto" w:hAnsi="Roboto" w:cs="Calibri"/>
          <w:color w:val="404040" w:themeColor="text1" w:themeTint="BF"/>
          <w:sz w:val="21"/>
          <w:szCs w:val="21"/>
          <w:lang w:val="en-GB"/>
        </w:rPr>
        <w:t>strategic objectives</w:t>
      </w:r>
      <w:r>
        <w:rPr>
          <w:rFonts w:ascii="Roboto" w:hAnsi="Roboto" w:cs="Calibri"/>
          <w:color w:val="404040" w:themeColor="text1" w:themeTint="BF"/>
          <w:sz w:val="21"/>
          <w:szCs w:val="21"/>
          <w:lang w:val="en-GB"/>
        </w:rPr>
        <w:t>’</w:t>
      </w:r>
      <w:r w:rsidRPr="00422377">
        <w:rPr>
          <w:rFonts w:ascii="Roboto" w:hAnsi="Roboto" w:cs="Calibri"/>
          <w:color w:val="404040" w:themeColor="text1" w:themeTint="BF"/>
          <w:sz w:val="21"/>
          <w:szCs w:val="21"/>
          <w:lang w:val="en-GB"/>
        </w:rPr>
        <w:t>, its higher-level objectives, and how they can be meaningfully interpreted as falling within the</w:t>
      </w:r>
      <w:r>
        <w:rPr>
          <w:rFonts w:ascii="Roboto" w:hAnsi="Roboto" w:cs="Calibri"/>
          <w:color w:val="404040" w:themeColor="text1" w:themeTint="BF"/>
          <w:sz w:val="21"/>
          <w:szCs w:val="21"/>
          <w:lang w:val="en-GB"/>
        </w:rPr>
        <w:t xml:space="preserve"> four</w:t>
      </w:r>
      <w:r w:rsidRPr="00422377">
        <w:rPr>
          <w:rFonts w:ascii="Roboto" w:hAnsi="Roboto" w:cs="Calibri"/>
          <w:color w:val="404040" w:themeColor="text1" w:themeTint="BF"/>
          <w:sz w:val="21"/>
          <w:szCs w:val="21"/>
          <w:lang w:val="en-GB"/>
        </w:rPr>
        <w:t xml:space="preserve"> Strategic Priority Areas present in the UNSDCF 2022–2026.</w:t>
      </w:r>
    </w:p>
    <w:p w14:paraId="5C7B97EF" w14:textId="77777777" w:rsidR="001A7FFD" w:rsidRPr="003C206F" w:rsidRDefault="001A7FFD" w:rsidP="001A7FFD">
      <w:pPr>
        <w:pStyle w:val="NormalWeb"/>
        <w:spacing w:before="0" w:beforeAutospacing="0" w:after="0" w:afterAutospacing="0"/>
        <w:jc w:val="both"/>
        <w:rPr>
          <w:rFonts w:ascii="Roboto" w:hAnsi="Roboto"/>
          <w:b/>
          <w:bCs/>
          <w:color w:val="404040" w:themeColor="text1" w:themeTint="BF"/>
          <w:sz w:val="21"/>
          <w:szCs w:val="21"/>
          <w:lang w:val="en-GB"/>
        </w:rPr>
      </w:pPr>
    </w:p>
    <w:p w14:paraId="0C809BD8" w14:textId="77777777" w:rsidR="001A7FFD" w:rsidRPr="003C206F" w:rsidRDefault="001A7FFD" w:rsidP="001A7FFD">
      <w:pPr>
        <w:rPr>
          <w:rFonts w:ascii="Roboto" w:hAnsi="Roboto" w:cs="Calibri"/>
          <w:b/>
          <w:bCs/>
          <w:color w:val="404040" w:themeColor="text1" w:themeTint="BF"/>
          <w:sz w:val="22"/>
          <w:szCs w:val="22"/>
          <w:lang w:val="en-GB"/>
        </w:rPr>
      </w:pPr>
      <w:r w:rsidRPr="003C206F">
        <w:rPr>
          <w:rFonts w:ascii="Roboto" w:hAnsi="Roboto" w:cs="Calibri"/>
          <w:b/>
          <w:bCs/>
          <w:color w:val="404040" w:themeColor="text1" w:themeTint="BF"/>
          <w:sz w:val="22"/>
          <w:szCs w:val="22"/>
          <w:lang w:val="en-GB"/>
        </w:rPr>
        <w:br w:type="page"/>
      </w:r>
    </w:p>
    <w:p w14:paraId="3CE77626" w14:textId="77777777" w:rsidR="001A7FFD" w:rsidRDefault="001A7FFD" w:rsidP="001A7FFD">
      <w:pPr>
        <w:tabs>
          <w:tab w:val="left" w:pos="2496"/>
        </w:tabs>
        <w:rPr>
          <w:rFonts w:ascii="Roboto" w:hAnsi="Roboto" w:cs="Calibri"/>
          <w:b/>
          <w:bCs/>
          <w:color w:val="404040" w:themeColor="text1" w:themeTint="BF"/>
          <w:sz w:val="21"/>
          <w:szCs w:val="21"/>
          <w:lang w:val="en-GB"/>
        </w:rPr>
      </w:pPr>
      <w:r w:rsidRPr="00DB5EAD">
        <w:rPr>
          <w:rFonts w:ascii="Roboto" w:hAnsi="Roboto" w:cs="Calibri"/>
          <w:b/>
          <w:bCs/>
          <w:color w:val="404040" w:themeColor="text1" w:themeTint="BF"/>
          <w:sz w:val="21"/>
          <w:szCs w:val="21"/>
          <w:lang w:val="en-GB"/>
        </w:rPr>
        <w:lastRenderedPageBreak/>
        <w:t xml:space="preserve">Figure </w:t>
      </w:r>
      <w:r>
        <w:rPr>
          <w:rFonts w:ascii="Roboto" w:hAnsi="Roboto" w:cs="Calibri"/>
          <w:b/>
          <w:bCs/>
          <w:color w:val="404040" w:themeColor="text1" w:themeTint="BF"/>
          <w:sz w:val="21"/>
          <w:szCs w:val="21"/>
          <w:lang w:val="en-GB"/>
        </w:rPr>
        <w:t>C</w:t>
      </w:r>
      <w:r w:rsidRPr="00DB5EAD">
        <w:rPr>
          <w:rFonts w:ascii="Roboto" w:hAnsi="Roboto" w:cs="Calibri"/>
          <w:b/>
          <w:bCs/>
          <w:color w:val="404040" w:themeColor="text1" w:themeTint="BF"/>
          <w:sz w:val="21"/>
          <w:szCs w:val="21"/>
          <w:lang w:val="en-GB"/>
        </w:rPr>
        <w:t xml:space="preserve">.1 </w:t>
      </w:r>
      <w:r>
        <w:rPr>
          <w:rFonts w:ascii="Roboto" w:hAnsi="Roboto" w:cs="Calibri"/>
          <w:b/>
          <w:bCs/>
          <w:color w:val="404040" w:themeColor="text1" w:themeTint="BF"/>
          <w:sz w:val="21"/>
          <w:szCs w:val="21"/>
          <w:lang w:val="en-GB"/>
        </w:rPr>
        <w:t xml:space="preserve">The </w:t>
      </w:r>
      <w:r w:rsidRPr="00DB5EAD">
        <w:rPr>
          <w:rFonts w:ascii="Roboto" w:hAnsi="Roboto" w:cs="Calibri"/>
          <w:b/>
          <w:bCs/>
          <w:color w:val="404040" w:themeColor="text1" w:themeTint="BF"/>
          <w:sz w:val="21"/>
          <w:szCs w:val="21"/>
          <w:lang w:val="en-GB"/>
        </w:rPr>
        <w:t xml:space="preserve">KSA’s Vision 2030 </w:t>
      </w:r>
      <w:r>
        <w:rPr>
          <w:rFonts w:ascii="Roboto" w:hAnsi="Roboto" w:cs="Calibri"/>
          <w:b/>
          <w:bCs/>
          <w:color w:val="404040" w:themeColor="text1" w:themeTint="BF"/>
          <w:sz w:val="21"/>
          <w:szCs w:val="21"/>
          <w:lang w:val="en-GB"/>
        </w:rPr>
        <w:t>F</w:t>
      </w:r>
      <w:r w:rsidRPr="00DB5EAD">
        <w:rPr>
          <w:rFonts w:ascii="Roboto" w:hAnsi="Roboto" w:cs="Calibri"/>
          <w:b/>
          <w:bCs/>
          <w:color w:val="404040" w:themeColor="text1" w:themeTint="BF"/>
          <w:sz w:val="21"/>
          <w:szCs w:val="21"/>
          <w:lang w:val="en-GB"/>
        </w:rPr>
        <w:t>raming of the Solution Tree</w:t>
      </w:r>
    </w:p>
    <w:p w14:paraId="16AC70FD" w14:textId="3BF23563" w:rsidR="001A7FFD" w:rsidRDefault="00CE4985" w:rsidP="00BA3843">
      <w:pPr>
        <w:tabs>
          <w:tab w:val="left" w:pos="2496"/>
        </w:tabs>
        <w:jc w:val="center"/>
        <w:rPr>
          <w:rFonts w:ascii="Roboto" w:hAnsi="Roboto" w:cs="Calibri"/>
          <w:b/>
          <w:bCs/>
          <w:color w:val="404040" w:themeColor="text1" w:themeTint="BF"/>
          <w:sz w:val="21"/>
          <w:szCs w:val="21"/>
          <w:lang w:val="en-GB"/>
        </w:rPr>
      </w:pPr>
      <w:r>
        <w:rPr>
          <w:rFonts w:ascii="Roboto" w:hAnsi="Roboto"/>
          <w:noProof/>
          <w:color w:val="404040" w:themeColor="text1" w:themeTint="BF"/>
          <w:sz w:val="21"/>
          <w:szCs w:val="21"/>
          <w:lang w:val="en-GB"/>
        </w:rPr>
        <w:drawing>
          <wp:anchor distT="0" distB="0" distL="114300" distR="114300" simplePos="0" relativeHeight="251817038" behindDoc="0" locked="0" layoutInCell="1" allowOverlap="1" wp14:anchorId="46B2E77F" wp14:editId="16C35D03">
            <wp:simplePos x="0" y="0"/>
            <wp:positionH relativeFrom="page">
              <wp:posOffset>1097915</wp:posOffset>
            </wp:positionH>
            <wp:positionV relativeFrom="paragraph">
              <wp:posOffset>182245</wp:posOffset>
            </wp:positionV>
            <wp:extent cx="5422392" cy="8513064"/>
            <wp:effectExtent l="0" t="0" r="6985" b="254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392" cy="8513064"/>
                    </a:xfrm>
                    <a:prstGeom prst="rect">
                      <a:avLst/>
                    </a:prstGeom>
                    <a:noFill/>
                  </pic:spPr>
                </pic:pic>
              </a:graphicData>
            </a:graphic>
            <wp14:sizeRelH relativeFrom="margin">
              <wp14:pctWidth>0</wp14:pctWidth>
            </wp14:sizeRelH>
            <wp14:sizeRelV relativeFrom="margin">
              <wp14:pctHeight>0</wp14:pctHeight>
            </wp14:sizeRelV>
          </wp:anchor>
        </w:drawing>
      </w:r>
    </w:p>
    <w:p w14:paraId="68F91704" w14:textId="1F92A63E" w:rsidR="00BE7278" w:rsidRPr="006812AD" w:rsidRDefault="00BE7278" w:rsidP="00BE7278">
      <w:pPr>
        <w:pStyle w:val="Heading1"/>
        <w:spacing w:before="0"/>
        <w:rPr>
          <w:rFonts w:ascii="Roboto" w:hAnsi="Roboto" w:cs="Calibri"/>
          <w:b/>
          <w:bCs/>
          <w:color w:val="4472C4" w:themeColor="accent1"/>
          <w:sz w:val="28"/>
          <w:szCs w:val="28"/>
          <w:lang w:val="en-GB"/>
        </w:rPr>
      </w:pPr>
      <w:bookmarkStart w:id="160" w:name="_Toc92277982"/>
      <w:bookmarkStart w:id="161" w:name="_Toc105333796"/>
      <w:r w:rsidRPr="006812AD">
        <w:rPr>
          <w:rFonts w:ascii="Roboto" w:hAnsi="Roboto" w:cs="Calibri"/>
          <w:b/>
          <w:bCs/>
          <w:color w:val="4472C4" w:themeColor="accent1"/>
          <w:sz w:val="28"/>
          <w:szCs w:val="28"/>
          <w:lang w:val="en-GB"/>
        </w:rPr>
        <w:lastRenderedPageBreak/>
        <w:t>Annex D. Business Operations Strategy in Support of the UNSDCF</w:t>
      </w:r>
      <w:bookmarkEnd w:id="160"/>
      <w:bookmarkEnd w:id="161"/>
    </w:p>
    <w:p w14:paraId="36F4D8A2" w14:textId="77777777" w:rsidR="00BE7278" w:rsidRPr="003C206F" w:rsidRDefault="00BE7278" w:rsidP="00BE7278">
      <w:pPr>
        <w:rPr>
          <w:rFonts w:ascii="Roboto" w:hAnsi="Roboto"/>
          <w:b/>
          <w:bCs/>
          <w:color w:val="404040" w:themeColor="text1" w:themeTint="BF"/>
          <w:lang w:val="en-GB"/>
        </w:rPr>
      </w:pPr>
    </w:p>
    <w:p w14:paraId="6A279312" w14:textId="3744FF2C" w:rsidR="00BE7278" w:rsidRPr="003C206F" w:rsidRDefault="00BE7278" w:rsidP="00BE7278">
      <w:pPr>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Business Operations Strategy (BOS) is a results-based framework that focuses on joint business operations with the purpose of eliminating duplication, leveraging the common bargaining power of the UN, and maximizing economies of scale. In line with the Secretary-General’s UN Reform targets, the KSA has designed a BOS in support of a more effective programme delivery of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2030 Agenda. This BOS was developed through the BOS online platform and will go through an annual monitoring phase.</w:t>
      </w:r>
    </w:p>
    <w:p w14:paraId="0B41F9AD" w14:textId="77777777" w:rsidR="00BE7278" w:rsidRPr="003C206F" w:rsidRDefault="00BE7278" w:rsidP="00BE7278">
      <w:pPr>
        <w:jc w:val="both"/>
        <w:rPr>
          <w:rFonts w:ascii="Roboto" w:hAnsi="Roboto" w:cs="Calibri"/>
          <w:color w:val="404040" w:themeColor="text1" w:themeTint="BF"/>
          <w:sz w:val="21"/>
          <w:szCs w:val="21"/>
          <w:lang w:val="en-GB"/>
        </w:rPr>
      </w:pPr>
    </w:p>
    <w:p w14:paraId="7D14170B" w14:textId="77777777" w:rsidR="00BE7278" w:rsidRPr="003C206F" w:rsidRDefault="00BE7278" w:rsidP="00BE7278">
      <w:pPr>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The BOS focuses on common services that are either implemented jointly or delivered by one UN entity on behalf of one or more other UN entities. Standard services for future collaboration were identified in the areas of standard administration services, including common facilities/premises, standard ICT services, and common procurement services. The following AFPs operating in the KSA are participating in the BOS: UNICEF, WFP, WHO, World Bank Group, UNHCR, OCHA, UNDP, UN-</w:t>
      </w:r>
      <w:r w:rsidRPr="00645128">
        <w:rPr>
          <w:rFonts w:ascii="Roboto" w:hAnsi="Roboto" w:cs="Calibri"/>
          <w:color w:val="404040" w:themeColor="text1" w:themeTint="BF"/>
          <w:sz w:val="21"/>
          <w:szCs w:val="21"/>
          <w:lang w:val="en-GB"/>
        </w:rPr>
        <w:t>Habitat</w:t>
      </w:r>
      <w:r w:rsidRPr="003C206F">
        <w:rPr>
          <w:rFonts w:ascii="Roboto" w:hAnsi="Roboto" w:cs="Calibri"/>
          <w:color w:val="404040" w:themeColor="text1" w:themeTint="BF"/>
          <w:sz w:val="21"/>
          <w:szCs w:val="21"/>
          <w:lang w:val="en-GB"/>
        </w:rPr>
        <w:t>, IOM, FAO, and OHCHR.</w:t>
      </w:r>
    </w:p>
    <w:p w14:paraId="06C4FFDA" w14:textId="77777777" w:rsidR="00BE7278" w:rsidRPr="003C206F" w:rsidRDefault="00BE7278" w:rsidP="00BE7278">
      <w:pPr>
        <w:jc w:val="both"/>
        <w:rPr>
          <w:rFonts w:ascii="Roboto" w:hAnsi="Roboto" w:cs="Calibri"/>
          <w:color w:val="404040" w:themeColor="text1" w:themeTint="BF"/>
          <w:sz w:val="21"/>
          <w:szCs w:val="21"/>
          <w:lang w:val="en-GB"/>
        </w:rPr>
      </w:pPr>
    </w:p>
    <w:p w14:paraId="4E98159A" w14:textId="6CFE00D1" w:rsidR="00BE7278" w:rsidRPr="003C206F" w:rsidRDefault="00BE7278" w:rsidP="00BE7278">
      <w:pPr>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 xml:space="preserve">The UNSDCF 2022–2026 is intended to lead to coordinated and substantive technical support by the AFPs to the Government of the KSA in its efforts to implement the </w:t>
      </w:r>
      <w:r w:rsidR="002704D0">
        <w:rPr>
          <w:rFonts w:ascii="Roboto" w:hAnsi="Roboto" w:cs="Calibri"/>
          <w:color w:val="404040" w:themeColor="text1" w:themeTint="BF"/>
          <w:sz w:val="21"/>
          <w:szCs w:val="21"/>
          <w:lang w:val="en-GB"/>
        </w:rPr>
        <w:t xml:space="preserve">UN’s </w:t>
      </w:r>
      <w:r w:rsidRPr="003C206F">
        <w:rPr>
          <w:rFonts w:ascii="Roboto" w:hAnsi="Roboto" w:cs="Calibri"/>
          <w:color w:val="404040" w:themeColor="text1" w:themeTint="BF"/>
          <w:sz w:val="21"/>
          <w:szCs w:val="21"/>
          <w:lang w:val="en-GB"/>
        </w:rPr>
        <w:t xml:space="preserve">2030 Agenda and address the KSA’s context-specific development strategy, Vision 2030. </w:t>
      </w:r>
    </w:p>
    <w:p w14:paraId="3B8192C2" w14:textId="77777777" w:rsidR="00BE7278" w:rsidRPr="003C206F" w:rsidRDefault="00BE7278" w:rsidP="00BE7278">
      <w:pPr>
        <w:jc w:val="both"/>
        <w:rPr>
          <w:rFonts w:ascii="Roboto" w:hAnsi="Roboto" w:cs="Calibri"/>
          <w:color w:val="404040" w:themeColor="text1" w:themeTint="BF"/>
          <w:sz w:val="21"/>
          <w:szCs w:val="21"/>
          <w:lang w:val="en-GB"/>
        </w:rPr>
      </w:pPr>
    </w:p>
    <w:p w14:paraId="74E7DFD6" w14:textId="77777777" w:rsidR="00BE7278" w:rsidRPr="003C206F" w:rsidRDefault="00BE7278" w:rsidP="00BE7278">
      <w:pPr>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To meet programming and policy priorities, the UNCT in the KSA intends to increase efficiencies, embrace innovation, and improve quality, especially in business operations-related activities. All this will be facilitated by applying the mutual recognition principle announced by the Secretary-General and agreed upon by all the AFPs at the global level.</w:t>
      </w:r>
    </w:p>
    <w:p w14:paraId="7E82F9E4" w14:textId="77777777" w:rsidR="00BE7278" w:rsidRPr="003C206F" w:rsidRDefault="00BE7278" w:rsidP="00BE7278">
      <w:pPr>
        <w:jc w:val="both"/>
        <w:rPr>
          <w:rFonts w:ascii="Roboto" w:hAnsi="Roboto" w:cs="Calibri"/>
          <w:color w:val="404040" w:themeColor="text1" w:themeTint="BF"/>
          <w:sz w:val="21"/>
          <w:szCs w:val="21"/>
          <w:lang w:val="en-GB"/>
        </w:rPr>
      </w:pPr>
    </w:p>
    <w:p w14:paraId="37018E97" w14:textId="77777777" w:rsidR="00524919" w:rsidRDefault="00BE7278" w:rsidP="00BE7278">
      <w:pPr>
        <w:pStyle w:val="NormalWeb"/>
        <w:spacing w:before="0" w:beforeAutospacing="0" w:after="0" w:afterAutospacing="0"/>
        <w:jc w:val="both"/>
        <w:rPr>
          <w:rFonts w:ascii="Roboto" w:hAnsi="Roboto" w:cs="Calibri"/>
          <w:color w:val="404040" w:themeColor="text1" w:themeTint="BF"/>
          <w:sz w:val="21"/>
          <w:szCs w:val="21"/>
          <w:lang w:val="en-GB"/>
        </w:rPr>
      </w:pPr>
      <w:r w:rsidRPr="003C206F">
        <w:rPr>
          <w:rFonts w:ascii="Roboto" w:hAnsi="Roboto" w:cs="Calibri"/>
          <w:color w:val="404040" w:themeColor="text1" w:themeTint="BF"/>
          <w:sz w:val="21"/>
          <w:szCs w:val="21"/>
          <w:lang w:val="en-GB"/>
        </w:rPr>
        <w:t>The BOS is intended to support the AFPs in the KSA to achieve faster and better results while ensuring that the highest quality of services is provided. It will also help better position the UN in the local market and increase its visibility. The BOS in the KSA focuses primarily on efficiency gains and cost avoidance. It aims to enhance internal transaction cost avoidance, improve the quality of services, and save costs on externally sourced goods and services.</w:t>
      </w:r>
    </w:p>
    <w:p w14:paraId="043AE292" w14:textId="77777777" w:rsidR="00524919" w:rsidRDefault="00524919">
      <w:pPr>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br w:type="page"/>
      </w:r>
    </w:p>
    <w:p w14:paraId="6E4C208E" w14:textId="7687E966" w:rsidR="00524919" w:rsidRDefault="00524919" w:rsidP="00524919">
      <w:pPr>
        <w:pStyle w:val="Heading1"/>
        <w:spacing w:before="0"/>
        <w:rPr>
          <w:rFonts w:ascii="Roboto" w:hAnsi="Roboto" w:cs="Calibri"/>
          <w:b/>
          <w:bCs/>
          <w:color w:val="4472C4" w:themeColor="accent1"/>
          <w:sz w:val="28"/>
          <w:szCs w:val="28"/>
          <w:lang w:val="en-GB"/>
        </w:rPr>
      </w:pPr>
      <w:bookmarkStart w:id="162" w:name="_Toc92277983"/>
      <w:bookmarkStart w:id="163" w:name="_Toc105333797"/>
      <w:r w:rsidRPr="006812AD">
        <w:rPr>
          <w:rFonts w:ascii="Roboto" w:hAnsi="Roboto" w:cs="Calibri"/>
          <w:b/>
          <w:bCs/>
          <w:color w:val="4472C4" w:themeColor="accent1"/>
          <w:sz w:val="28"/>
          <w:szCs w:val="28"/>
          <w:lang w:val="en-GB"/>
        </w:rPr>
        <w:lastRenderedPageBreak/>
        <w:t>Annex E. Figure E.1: Solution Tree: Results Framework at Outcome Level</w:t>
      </w:r>
      <w:bookmarkEnd w:id="162"/>
      <w:bookmarkEnd w:id="163"/>
      <w:r w:rsidRPr="006812AD" w:rsidDel="00177E44">
        <w:rPr>
          <w:rFonts w:ascii="Roboto" w:hAnsi="Roboto" w:cs="Calibri"/>
          <w:b/>
          <w:bCs/>
          <w:color w:val="4472C4" w:themeColor="accent1"/>
          <w:sz w:val="28"/>
          <w:szCs w:val="28"/>
          <w:lang w:val="en-GB"/>
        </w:rPr>
        <w:t xml:space="preserve"> </w:t>
      </w:r>
    </w:p>
    <w:p w14:paraId="27B53296" w14:textId="77777777" w:rsidR="00CE4985" w:rsidRPr="00CE4985" w:rsidRDefault="00CE4985" w:rsidP="00CE4985">
      <w:pPr>
        <w:rPr>
          <w:lang w:val="en-GB"/>
        </w:rPr>
      </w:pPr>
    </w:p>
    <w:p w14:paraId="7989C8D7" w14:textId="44A72929" w:rsidR="00524919" w:rsidRPr="003C206F" w:rsidRDefault="00CE4985" w:rsidP="00524919">
      <w:pPr>
        <w:pStyle w:val="Heading1"/>
        <w:spacing w:before="0"/>
        <w:rPr>
          <w:rFonts w:ascii="Roboto" w:hAnsi="Roboto" w:cs="Calibri"/>
          <w:b/>
          <w:bCs/>
          <w:color w:val="404040" w:themeColor="text1" w:themeTint="BF"/>
          <w:sz w:val="28"/>
          <w:szCs w:val="28"/>
          <w:lang w:val="en-GB"/>
        </w:rPr>
      </w:pPr>
      <w:r>
        <w:rPr>
          <w:rFonts w:ascii="Roboto" w:hAnsi="Roboto" w:cs="Calibri"/>
          <w:b/>
          <w:bCs/>
          <w:noProof/>
          <w:color w:val="404040" w:themeColor="text1" w:themeTint="BF"/>
          <w:sz w:val="28"/>
          <w:szCs w:val="28"/>
          <w:lang w:val="en-GB"/>
        </w:rPr>
        <w:drawing>
          <wp:inline distT="0" distB="0" distL="0" distR="0" wp14:anchorId="58DB7566" wp14:editId="5890C374">
            <wp:extent cx="5736590" cy="79133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6590" cy="7913370"/>
                    </a:xfrm>
                    <a:prstGeom prst="rect">
                      <a:avLst/>
                    </a:prstGeom>
                    <a:noFill/>
                  </pic:spPr>
                </pic:pic>
              </a:graphicData>
            </a:graphic>
          </wp:inline>
        </w:drawing>
      </w:r>
    </w:p>
    <w:p w14:paraId="06786E06" w14:textId="42F2CE59" w:rsidR="00EB2ED3" w:rsidRDefault="00EB2ED3" w:rsidP="00524919">
      <w:pPr>
        <w:jc w:val="center"/>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br w:type="page"/>
      </w:r>
    </w:p>
    <w:p w14:paraId="5A518E24" w14:textId="3562B1B8" w:rsidR="00701DC6" w:rsidRDefault="00701DC6" w:rsidP="00464AC3">
      <w:pPr>
        <w:pStyle w:val="Heading1"/>
        <w:rPr>
          <w:rFonts w:ascii="Roboto" w:hAnsi="Roboto" w:cs="Calibri"/>
          <w:b/>
          <w:bCs/>
          <w:color w:val="4472C4" w:themeColor="accent1"/>
          <w:sz w:val="28"/>
          <w:szCs w:val="28"/>
          <w:lang w:val="en-GB"/>
        </w:rPr>
      </w:pPr>
      <w:bookmarkStart w:id="164" w:name="_Toc105333798"/>
      <w:r w:rsidRPr="006812AD">
        <w:rPr>
          <w:rFonts w:ascii="Roboto" w:hAnsi="Roboto" w:cs="Calibri"/>
          <w:b/>
          <w:bCs/>
          <w:color w:val="4472C4" w:themeColor="accent1"/>
          <w:sz w:val="28"/>
          <w:szCs w:val="28"/>
          <w:lang w:val="en-GB"/>
        </w:rPr>
        <w:lastRenderedPageBreak/>
        <w:t xml:space="preserve">Annex </w:t>
      </w:r>
      <w:r>
        <w:rPr>
          <w:rFonts w:ascii="Roboto" w:hAnsi="Roboto" w:cs="Calibri"/>
          <w:b/>
          <w:bCs/>
          <w:color w:val="4472C4" w:themeColor="accent1"/>
          <w:sz w:val="28"/>
          <w:szCs w:val="28"/>
          <w:lang w:val="en-GB"/>
        </w:rPr>
        <w:t>F</w:t>
      </w:r>
      <w:r w:rsidRPr="006812AD">
        <w:rPr>
          <w:rFonts w:ascii="Roboto" w:hAnsi="Roboto" w:cs="Calibri"/>
          <w:b/>
          <w:bCs/>
          <w:color w:val="4472C4" w:themeColor="accent1"/>
          <w:sz w:val="28"/>
          <w:szCs w:val="28"/>
          <w:lang w:val="en-GB"/>
        </w:rPr>
        <w:t xml:space="preserve">. </w:t>
      </w:r>
      <w:r>
        <w:rPr>
          <w:rFonts w:ascii="Roboto" w:hAnsi="Roboto" w:cs="Calibri"/>
          <w:b/>
          <w:bCs/>
          <w:color w:val="4472C4" w:themeColor="accent1"/>
          <w:sz w:val="28"/>
          <w:szCs w:val="28"/>
          <w:lang w:val="en-GB"/>
        </w:rPr>
        <w:t>The UNCT Coordination Framework</w:t>
      </w:r>
      <w:bookmarkEnd w:id="164"/>
    </w:p>
    <w:p w14:paraId="6C3BD670" w14:textId="77777777" w:rsidR="00B85F8C" w:rsidRDefault="00B85F8C">
      <w:pPr>
        <w:rPr>
          <w:rFonts w:ascii="Roboto" w:hAnsi="Roboto" w:cs="Calibri"/>
          <w:b/>
          <w:bCs/>
          <w:color w:val="4472C4" w:themeColor="accent1"/>
          <w:sz w:val="21"/>
          <w:szCs w:val="21"/>
          <w:lang w:val="en-GB"/>
        </w:rPr>
      </w:pPr>
    </w:p>
    <w:p w14:paraId="4C33D754" w14:textId="40FD0E6B" w:rsidR="00BF0F5C" w:rsidRPr="004B2DAD" w:rsidRDefault="00863202" w:rsidP="00BF0F5C">
      <w:r>
        <w:rPr>
          <w:rFonts w:ascii="Roboto" w:hAnsi="Roboto" w:cs="Calibri"/>
          <w:color w:val="404040" w:themeColor="text1" w:themeTint="BF"/>
          <w:sz w:val="21"/>
          <w:szCs w:val="21"/>
        </w:rPr>
        <w:t xml:space="preserve">In addition to the </w:t>
      </w:r>
      <w:r w:rsidRPr="00B04BB6">
        <w:rPr>
          <w:rFonts w:ascii="Roboto" w:hAnsi="Roboto" w:cs="Calibri"/>
          <w:color w:val="404040" w:themeColor="text1" w:themeTint="BF"/>
          <w:sz w:val="21"/>
          <w:szCs w:val="21"/>
        </w:rPr>
        <w:t xml:space="preserve">joint UN-KSA </w:t>
      </w:r>
      <w:r>
        <w:rPr>
          <w:rFonts w:ascii="Roboto" w:hAnsi="Roboto" w:cs="Calibri"/>
          <w:color w:val="404040" w:themeColor="text1" w:themeTint="BF"/>
          <w:sz w:val="21"/>
          <w:szCs w:val="21"/>
        </w:rPr>
        <w:t>Cooperation Framework Committee, th</w:t>
      </w:r>
      <w:r w:rsidR="00B85F8C" w:rsidRPr="00B04BB6">
        <w:rPr>
          <w:rFonts w:ascii="Roboto" w:hAnsi="Roboto" w:cs="Calibri"/>
          <w:color w:val="404040" w:themeColor="text1" w:themeTint="BF"/>
          <w:sz w:val="21"/>
          <w:szCs w:val="21"/>
        </w:rPr>
        <w:t xml:space="preserve">e UN Resident Coordinator and the UN Country Team </w:t>
      </w:r>
      <w:r>
        <w:rPr>
          <w:rFonts w:ascii="Roboto" w:hAnsi="Roboto" w:cs="Calibri"/>
          <w:color w:val="404040" w:themeColor="text1" w:themeTint="BF"/>
          <w:sz w:val="21"/>
          <w:szCs w:val="21"/>
        </w:rPr>
        <w:t xml:space="preserve">maintain </w:t>
      </w:r>
      <w:r w:rsidR="00B85F8C" w:rsidRPr="00B04BB6">
        <w:rPr>
          <w:rFonts w:ascii="Roboto" w:hAnsi="Roboto" w:cs="Calibri"/>
          <w:color w:val="404040" w:themeColor="text1" w:themeTint="BF"/>
          <w:sz w:val="21"/>
          <w:szCs w:val="21"/>
        </w:rPr>
        <w:t>internal governance and coordination mechanism</w:t>
      </w:r>
      <w:r>
        <w:rPr>
          <w:rFonts w:ascii="Roboto" w:hAnsi="Roboto" w:cs="Calibri"/>
          <w:color w:val="404040" w:themeColor="text1" w:themeTint="BF"/>
          <w:sz w:val="21"/>
          <w:szCs w:val="21"/>
        </w:rPr>
        <w:t>s</w:t>
      </w:r>
      <w:r w:rsidR="00B85F8C" w:rsidRPr="00B04BB6">
        <w:rPr>
          <w:rFonts w:ascii="Roboto" w:hAnsi="Roboto" w:cs="Calibri"/>
          <w:color w:val="404040" w:themeColor="text1" w:themeTint="BF"/>
          <w:sz w:val="21"/>
          <w:szCs w:val="21"/>
        </w:rPr>
        <w:t xml:space="preserve"> to </w:t>
      </w:r>
      <w:bookmarkStart w:id="165" w:name="_Hlk105409869"/>
      <w:r w:rsidR="00B85F8C" w:rsidRPr="00B04BB6">
        <w:rPr>
          <w:rFonts w:ascii="Roboto" w:hAnsi="Roboto" w:cs="Calibri"/>
          <w:color w:val="404040" w:themeColor="text1" w:themeTint="BF"/>
          <w:sz w:val="21"/>
          <w:szCs w:val="21"/>
        </w:rPr>
        <w:t xml:space="preserve">ensure a coherent and efficient </w:t>
      </w:r>
      <w:bookmarkStart w:id="166" w:name="_Hlk105411139"/>
      <w:r w:rsidR="00B85F8C" w:rsidRPr="00B04BB6">
        <w:rPr>
          <w:rFonts w:ascii="Roboto" w:hAnsi="Roboto" w:cs="Calibri"/>
          <w:color w:val="404040" w:themeColor="text1" w:themeTint="BF"/>
          <w:sz w:val="21"/>
          <w:szCs w:val="21"/>
        </w:rPr>
        <w:t>approach across the UN system</w:t>
      </w:r>
      <w:bookmarkEnd w:id="165"/>
      <w:r w:rsidR="00B85F8C" w:rsidRPr="00B04BB6">
        <w:rPr>
          <w:rFonts w:ascii="Roboto" w:hAnsi="Roboto" w:cs="Calibri"/>
          <w:color w:val="404040" w:themeColor="text1" w:themeTint="BF"/>
          <w:sz w:val="21"/>
          <w:szCs w:val="21"/>
        </w:rPr>
        <w:t xml:space="preserve"> to </w:t>
      </w:r>
      <w:r>
        <w:rPr>
          <w:rFonts w:ascii="Roboto" w:hAnsi="Roboto" w:cs="Calibri"/>
          <w:color w:val="404040" w:themeColor="text1" w:themeTint="BF"/>
          <w:sz w:val="21"/>
          <w:szCs w:val="21"/>
        </w:rPr>
        <w:t xml:space="preserve">strategy, policy, </w:t>
      </w:r>
      <w:r w:rsidR="00B85F8C" w:rsidRPr="00B04BB6">
        <w:rPr>
          <w:rFonts w:ascii="Roboto" w:hAnsi="Roboto" w:cs="Calibri"/>
          <w:color w:val="404040" w:themeColor="text1" w:themeTint="BF"/>
          <w:sz w:val="21"/>
          <w:szCs w:val="21"/>
        </w:rPr>
        <w:t>planning, monitoring, evaluation</w:t>
      </w:r>
      <w:r>
        <w:rPr>
          <w:rFonts w:ascii="Roboto" w:hAnsi="Roboto" w:cs="Calibri"/>
          <w:color w:val="404040" w:themeColor="text1" w:themeTint="BF"/>
          <w:sz w:val="21"/>
          <w:szCs w:val="21"/>
        </w:rPr>
        <w:t>,</w:t>
      </w:r>
      <w:r w:rsidR="00B85F8C" w:rsidRPr="00B04BB6">
        <w:rPr>
          <w:rFonts w:ascii="Roboto" w:hAnsi="Roboto" w:cs="Calibri"/>
          <w:color w:val="404040" w:themeColor="text1" w:themeTint="BF"/>
          <w:sz w:val="21"/>
          <w:szCs w:val="21"/>
        </w:rPr>
        <w:t xml:space="preserve"> and reporting for the UNSDCF</w:t>
      </w:r>
      <w:bookmarkEnd w:id="166"/>
      <w:r w:rsidR="00B85F8C" w:rsidRPr="00B04BB6">
        <w:rPr>
          <w:rFonts w:ascii="Roboto" w:hAnsi="Roboto" w:cs="Calibri"/>
          <w:color w:val="404040" w:themeColor="text1" w:themeTint="BF"/>
          <w:sz w:val="21"/>
          <w:szCs w:val="21"/>
        </w:rPr>
        <w:t>.</w:t>
      </w:r>
      <w:r w:rsidR="00B85F8C" w:rsidRPr="00BF0F5C">
        <w:rPr>
          <w:rFonts w:ascii="Roboto" w:hAnsi="Roboto" w:cs="Calibri"/>
          <w:b/>
          <w:bCs/>
          <w:color w:val="404040" w:themeColor="text1" w:themeTint="BF"/>
          <w:sz w:val="28"/>
          <w:szCs w:val="28"/>
          <w:lang w:val="en-GB"/>
        </w:rPr>
        <w:t xml:space="preserve"> </w:t>
      </w:r>
      <w:r w:rsidR="00BF0F5C" w:rsidRPr="00BF0F5C">
        <w:rPr>
          <w:rFonts w:ascii="Roboto" w:hAnsi="Roboto" w:cstheme="minorBidi"/>
          <w:color w:val="404040" w:themeColor="text1" w:themeTint="BF"/>
          <w:sz w:val="21"/>
          <w:szCs w:val="21"/>
        </w:rPr>
        <w:t>T</w:t>
      </w:r>
      <w:r w:rsidR="00BF0F5C" w:rsidRPr="005E6A97">
        <w:rPr>
          <w:rFonts w:ascii="Roboto" w:hAnsi="Roboto" w:cstheme="minorBidi"/>
          <w:color w:val="404040" w:themeColor="text1" w:themeTint="BF"/>
          <w:sz w:val="21"/>
          <w:szCs w:val="21"/>
        </w:rPr>
        <w:t xml:space="preserve">he </w:t>
      </w:r>
      <w:r w:rsidR="00BF0F5C" w:rsidRPr="00BF0F5C">
        <w:rPr>
          <w:rFonts w:ascii="Roboto" w:hAnsi="Roboto" w:cstheme="minorBidi"/>
          <w:color w:val="404040" w:themeColor="text1" w:themeTint="BF"/>
          <w:sz w:val="21"/>
          <w:szCs w:val="21"/>
        </w:rPr>
        <w:t>Statutory Coordination mechanisms and A</w:t>
      </w:r>
      <w:r w:rsidR="00BF0F5C" w:rsidRPr="005E6A97">
        <w:rPr>
          <w:rFonts w:ascii="Roboto" w:hAnsi="Roboto" w:cstheme="minorBidi"/>
          <w:color w:val="404040" w:themeColor="text1" w:themeTint="BF"/>
          <w:sz w:val="21"/>
          <w:szCs w:val="21"/>
        </w:rPr>
        <w:t xml:space="preserve">dvisory </w:t>
      </w:r>
      <w:r w:rsidR="00BF0F5C" w:rsidRPr="00BF0F5C">
        <w:rPr>
          <w:rFonts w:ascii="Roboto" w:hAnsi="Roboto" w:cstheme="minorBidi"/>
          <w:color w:val="404040" w:themeColor="text1" w:themeTint="BF"/>
          <w:sz w:val="21"/>
          <w:szCs w:val="21"/>
        </w:rPr>
        <w:t>W</w:t>
      </w:r>
      <w:r w:rsidR="00BF0F5C" w:rsidRPr="005E6A97">
        <w:rPr>
          <w:rFonts w:ascii="Roboto" w:hAnsi="Roboto" w:cstheme="minorBidi"/>
          <w:color w:val="404040" w:themeColor="text1" w:themeTint="BF"/>
          <w:sz w:val="21"/>
          <w:szCs w:val="21"/>
        </w:rPr>
        <w:t xml:space="preserve">orking </w:t>
      </w:r>
      <w:r w:rsidR="00BF0F5C" w:rsidRPr="00BF0F5C">
        <w:rPr>
          <w:rFonts w:ascii="Roboto" w:hAnsi="Roboto" w:cstheme="minorBidi"/>
          <w:color w:val="404040" w:themeColor="text1" w:themeTint="BF"/>
          <w:sz w:val="21"/>
          <w:szCs w:val="21"/>
        </w:rPr>
        <w:t>G</w:t>
      </w:r>
      <w:r w:rsidR="00BF0F5C" w:rsidRPr="005E6A97">
        <w:rPr>
          <w:rFonts w:ascii="Roboto" w:hAnsi="Roboto" w:cstheme="minorBidi"/>
          <w:color w:val="404040" w:themeColor="text1" w:themeTint="BF"/>
          <w:sz w:val="21"/>
          <w:szCs w:val="21"/>
        </w:rPr>
        <w:t xml:space="preserve">roups reflect the composition of the UN agencies </w:t>
      </w:r>
      <w:r w:rsidR="00BF0F5C" w:rsidRPr="00BF0F5C">
        <w:rPr>
          <w:rFonts w:ascii="Roboto" w:hAnsi="Roboto" w:cstheme="minorBidi"/>
          <w:color w:val="404040" w:themeColor="text1" w:themeTint="BF"/>
          <w:sz w:val="21"/>
          <w:szCs w:val="21"/>
        </w:rPr>
        <w:t xml:space="preserve">signatory to the UNSDCF. </w:t>
      </w:r>
    </w:p>
    <w:p w14:paraId="72043B36" w14:textId="57493FA8" w:rsidR="00B85F8C" w:rsidRDefault="0091144F" w:rsidP="00B85F8C">
      <w:pPr>
        <w:rPr>
          <w:rFonts w:ascii="Roboto" w:hAnsi="Roboto" w:cs="Calibri"/>
          <w:color w:val="404040" w:themeColor="text1" w:themeTint="BF"/>
          <w:sz w:val="21"/>
          <w:szCs w:val="21"/>
          <w:lang w:val="en-GB"/>
        </w:rPr>
      </w:pP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1134" behindDoc="0" locked="0" layoutInCell="1" allowOverlap="1" wp14:anchorId="0B790F64" wp14:editId="3424F538">
                <wp:simplePos x="0" y="0"/>
                <wp:positionH relativeFrom="column">
                  <wp:posOffset>1600200</wp:posOffset>
                </wp:positionH>
                <wp:positionV relativeFrom="paragraph">
                  <wp:posOffset>85090</wp:posOffset>
                </wp:positionV>
                <wp:extent cx="2514600" cy="577850"/>
                <wp:effectExtent l="0" t="0" r="0" b="0"/>
                <wp:wrapNone/>
                <wp:docPr id="97" name="Rectangle 15"/>
                <wp:cNvGraphicFramePr/>
                <a:graphic xmlns:a="http://schemas.openxmlformats.org/drawingml/2006/main">
                  <a:graphicData uri="http://schemas.microsoft.com/office/word/2010/wordprocessingShape">
                    <wps:wsp>
                      <wps:cNvSpPr/>
                      <wps:spPr>
                        <a:xfrm>
                          <a:off x="0" y="0"/>
                          <a:ext cx="2514600" cy="577850"/>
                        </a:xfrm>
                        <a:prstGeom prst="rect">
                          <a:avLst/>
                        </a:prstGeom>
                        <a:solidFill>
                          <a:srgbClr val="F15C1B"/>
                        </a:solidFill>
                        <a:ln w="9525" cap="flat" cmpd="sng" algn="ctr">
                          <a:noFill/>
                          <a:prstDash val="solid"/>
                          <a:miter lim="800000"/>
                        </a:ln>
                        <a:effectLst/>
                      </wps:spPr>
                      <wps:txbx>
                        <w:txbxContent>
                          <w:p w14:paraId="0ACD2011" w14:textId="06952FE3" w:rsidR="00B85F8C" w:rsidRPr="00B04BB6" w:rsidRDefault="00B85F8C" w:rsidP="00B85F8C">
                            <w:pPr>
                              <w:jc w:val="center"/>
                              <w:textAlignment w:val="baseline"/>
                              <w:rPr>
                                <w:rFonts w:ascii="Roboto" w:hAnsi="Roboto" w:cstheme="minorBidi"/>
                                <w:color w:val="FFFFFF"/>
                                <w:sz w:val="22"/>
                                <w:szCs w:val="22"/>
                              </w:rPr>
                            </w:pPr>
                            <w:r w:rsidRPr="00B04BB6">
                              <w:rPr>
                                <w:rFonts w:ascii="Roboto" w:hAnsi="Roboto" w:cstheme="minorBidi"/>
                                <w:color w:val="FFFFFF"/>
                                <w:sz w:val="22"/>
                                <w:szCs w:val="22"/>
                              </w:rPr>
                              <w:t>UN Country Team</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90F64" id="Rectangle 15" o:spid="_x0000_s1032" style="position:absolute;margin-left:126pt;margin-top:6.7pt;width:198pt;height:45.5pt;z-index:251821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" fillcolor="#f15c1b" stroked="f">
                <v:textbox inset="5.76pt,5.76pt,5.76pt,5.76pt">
                  <w:txbxContent>
                    <w:p w14:paraId="0ACD2011" w14:textId="06952FE3" w:rsidR="00B85F8C" w:rsidRPr="00B04BB6" w:rsidRDefault="00B85F8C" w:rsidP="00B85F8C">
                      <w:pPr>
                        <w:jc w:val="center"/>
                        <w:textAlignment w:val="baseline"/>
                        <w:rPr>
                          <w:rFonts w:ascii="Roboto" w:hAnsi="Roboto" w:cstheme="minorBidi"/>
                          <w:color w:val="FFFFFF"/>
                          <w:sz w:val="22"/>
                          <w:szCs w:val="22"/>
                        </w:rPr>
                      </w:pPr>
                      <w:r w:rsidRPr="00B04BB6">
                        <w:rPr>
                          <w:rFonts w:ascii="Roboto" w:hAnsi="Roboto" w:cstheme="minorBidi"/>
                          <w:color w:val="FFFFFF"/>
                          <w:sz w:val="22"/>
                          <w:szCs w:val="22"/>
                        </w:rPr>
                        <w:t>UN Country Team</w:t>
                      </w:r>
                    </w:p>
                  </w:txbxContent>
                </v:textbox>
              </v:rect>
            </w:pict>
          </mc:Fallback>
        </mc:AlternateContent>
      </w:r>
    </w:p>
    <w:tbl>
      <w:tblPr>
        <w:tblStyle w:val="TableGrid"/>
        <w:tblW w:w="9243" w:type="dxa"/>
        <w:tblLook w:val="04A0" w:firstRow="1" w:lastRow="0" w:firstColumn="1" w:lastColumn="0" w:noHBand="0" w:noVBand="1"/>
      </w:tblPr>
      <w:tblGrid>
        <w:gridCol w:w="9243"/>
      </w:tblGrid>
      <w:tr w:rsidR="00B85F8C" w14:paraId="3DDBCF8E" w14:textId="77777777" w:rsidTr="00791356">
        <w:trPr>
          <w:trHeight w:val="8417"/>
        </w:trPr>
        <w:tc>
          <w:tcPr>
            <w:tcW w:w="9243" w:type="dxa"/>
            <w:tcBorders>
              <w:top w:val="nil"/>
              <w:left w:val="nil"/>
              <w:bottom w:val="nil"/>
              <w:right w:val="nil"/>
            </w:tcBorders>
          </w:tcPr>
          <w:p w14:paraId="27608BB1" w14:textId="2D2579FD" w:rsidR="00B85F8C" w:rsidRDefault="0091144F" w:rsidP="00791356">
            <w:pPr>
              <w:rPr>
                <w:rFonts w:ascii="Roboto" w:hAnsi="Roboto" w:cs="Calibri"/>
                <w:color w:val="404040" w:themeColor="text1" w:themeTint="BF"/>
                <w:sz w:val="21"/>
                <w:szCs w:val="21"/>
                <w:lang w:val="en-GB"/>
              </w:rPr>
            </w:pP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41614" behindDoc="0" locked="0" layoutInCell="1" allowOverlap="1" wp14:anchorId="15908EC6" wp14:editId="46965674">
                      <wp:simplePos x="0" y="0"/>
                      <wp:positionH relativeFrom="column">
                        <wp:posOffset>-68580</wp:posOffset>
                      </wp:positionH>
                      <wp:positionV relativeFrom="paragraph">
                        <wp:posOffset>4267200</wp:posOffset>
                      </wp:positionV>
                      <wp:extent cx="1143000" cy="1943100"/>
                      <wp:effectExtent l="0" t="0" r="19050" b="19050"/>
                      <wp:wrapNone/>
                      <wp:docPr id="113" name="Rectangle 15"/>
                      <wp:cNvGraphicFramePr/>
                      <a:graphic xmlns:a="http://schemas.openxmlformats.org/drawingml/2006/main">
                        <a:graphicData uri="http://schemas.microsoft.com/office/word/2010/wordprocessingShape">
                          <wps:wsp>
                            <wps:cNvSpPr/>
                            <wps:spPr>
                              <a:xfrm>
                                <a:off x="0" y="0"/>
                                <a:ext cx="1143000" cy="1943100"/>
                              </a:xfrm>
                              <a:prstGeom prst="rect">
                                <a:avLst/>
                              </a:prstGeom>
                              <a:solidFill>
                                <a:sysClr val="window" lastClr="FFFFFF"/>
                              </a:solidFill>
                              <a:ln w="9525" cap="flat" cmpd="sng" algn="ctr">
                                <a:solidFill>
                                  <a:srgbClr val="F15C1B"/>
                                </a:solidFill>
                                <a:prstDash val="solid"/>
                                <a:miter lim="800000"/>
                              </a:ln>
                              <a:effectLst/>
                            </wps:spPr>
                            <wps:txbx>
                              <w:txbxContent>
                                <w:p w14:paraId="6359A785" w14:textId="77777777" w:rsidR="0062010B" w:rsidRDefault="00D22B3C" w:rsidP="00BF0F5C">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 xml:space="preserve">Role: </w:t>
                                  </w:r>
                                </w:p>
                                <w:p w14:paraId="19337945" w14:textId="7CAE6E9B" w:rsidR="00D22B3C" w:rsidRPr="00954CD4" w:rsidRDefault="0062010B" w:rsidP="00D22B3C">
                                  <w:pPr>
                                    <w:textAlignment w:val="baseline"/>
                                    <w:rPr>
                                      <w:rFonts w:ascii="Roboto" w:hAnsi="Roboto" w:cstheme="minorBidi"/>
                                      <w:color w:val="F15C1B"/>
                                      <w:sz w:val="21"/>
                                      <w:szCs w:val="21"/>
                                    </w:rPr>
                                  </w:pPr>
                                  <w:r>
                                    <w:rPr>
                                      <w:rFonts w:ascii="Roboto" w:hAnsi="Roboto" w:cstheme="minorBidi"/>
                                      <w:color w:val="F15C1B"/>
                                      <w:sz w:val="21"/>
                                      <w:szCs w:val="21"/>
                                    </w:rPr>
                                    <w:t>E</w:t>
                                  </w:r>
                                  <w:r w:rsidRPr="0062010B">
                                    <w:rPr>
                                      <w:rFonts w:ascii="Roboto" w:hAnsi="Roboto" w:cstheme="minorBidi"/>
                                      <w:color w:val="F15C1B"/>
                                      <w:sz w:val="21"/>
                                      <w:szCs w:val="21"/>
                                    </w:rPr>
                                    <w:t>nsure coherent and efficient approach</w:t>
                                  </w:r>
                                  <w:r>
                                    <w:rPr>
                                      <w:rFonts w:ascii="Roboto" w:hAnsi="Roboto" w:cstheme="minorBidi"/>
                                      <w:color w:val="F15C1B"/>
                                      <w:sz w:val="21"/>
                                      <w:szCs w:val="21"/>
                                    </w:rPr>
                                    <w:t>es</w:t>
                                  </w:r>
                                  <w:r w:rsidRPr="0062010B">
                                    <w:rPr>
                                      <w:rFonts w:ascii="Roboto" w:hAnsi="Roboto" w:cstheme="minorBidi"/>
                                      <w:color w:val="F15C1B"/>
                                      <w:sz w:val="21"/>
                                      <w:szCs w:val="21"/>
                                    </w:rPr>
                                    <w:t xml:space="preserve"> across the UN system</w:t>
                                  </w:r>
                                  <w:r w:rsidRPr="0062010B">
                                    <w:rPr>
                                      <w:rFonts w:ascii="Roboto" w:hAnsi="Roboto" w:cstheme="minorBidi"/>
                                      <w:b/>
                                      <w:bCs/>
                                      <w:color w:val="F15C1B"/>
                                      <w:sz w:val="21"/>
                                      <w:szCs w:val="21"/>
                                    </w:rPr>
                                    <w:t xml:space="preserve"> </w:t>
                                  </w:r>
                                  <w:r w:rsidR="00D22B3C" w:rsidRPr="005E6A97">
                                    <w:rPr>
                                      <w:rFonts w:ascii="Roboto" w:hAnsi="Roboto" w:cstheme="minorBidi"/>
                                      <w:color w:val="F15C1B"/>
                                      <w:sz w:val="21"/>
                                      <w:szCs w:val="21"/>
                                    </w:rPr>
                                    <w:t>provid</w:t>
                                  </w:r>
                                  <w:r w:rsidRPr="0062010B">
                                    <w:rPr>
                                      <w:rFonts w:ascii="Roboto" w:hAnsi="Roboto" w:cstheme="minorBidi"/>
                                      <w:color w:val="F15C1B"/>
                                      <w:sz w:val="21"/>
                                      <w:szCs w:val="21"/>
                                    </w:rPr>
                                    <w:t>ing</w:t>
                                  </w:r>
                                  <w:r w:rsidR="00D22B3C" w:rsidRPr="005E6A97">
                                    <w:rPr>
                                      <w:rFonts w:ascii="Roboto" w:hAnsi="Roboto" w:cstheme="minorBidi"/>
                                      <w:color w:val="F15C1B"/>
                                      <w:sz w:val="21"/>
                                      <w:szCs w:val="21"/>
                                    </w:rPr>
                                    <w:t xml:space="preserve"> </w:t>
                                  </w:r>
                                  <w:r w:rsidR="00D22B3C" w:rsidRPr="0062010B">
                                    <w:rPr>
                                      <w:rFonts w:ascii="Roboto" w:hAnsi="Roboto" w:cstheme="minorBidi"/>
                                      <w:color w:val="F15C1B"/>
                                      <w:sz w:val="21"/>
                                      <w:szCs w:val="21"/>
                                    </w:rPr>
                                    <w:t xml:space="preserve">strategy, policy, and </w:t>
                                  </w:r>
                                  <w:r w:rsidR="00D22B3C" w:rsidRPr="005E6A97">
                                    <w:rPr>
                                      <w:rFonts w:ascii="Roboto" w:hAnsi="Roboto" w:cstheme="minorBidi"/>
                                      <w:color w:val="F15C1B"/>
                                      <w:sz w:val="21"/>
                                      <w:szCs w:val="21"/>
                                    </w:rPr>
                                    <w:t xml:space="preserve">technical </w:t>
                                  </w:r>
                                  <w:r w:rsidR="00D22B3C" w:rsidRPr="0062010B">
                                    <w:rPr>
                                      <w:rFonts w:ascii="Roboto" w:hAnsi="Roboto" w:cstheme="minorBidi"/>
                                      <w:color w:val="F15C1B"/>
                                      <w:sz w:val="21"/>
                                      <w:szCs w:val="21"/>
                                    </w:rPr>
                                    <w:t>advice to the UNCT</w:t>
                                  </w:r>
                                  <w:r>
                                    <w:rPr>
                                      <w:rFonts w:ascii="Roboto" w:hAnsi="Roboto" w:cstheme="minorBidi"/>
                                      <w:color w:val="F15C1B"/>
                                      <w:sz w:val="21"/>
                                      <w:szCs w:val="21"/>
                                    </w:rPr>
                                    <w:t>.</w:t>
                                  </w:r>
                                  <w:r w:rsidR="00D22B3C" w:rsidRPr="005E6A97">
                                    <w:rPr>
                                      <w:rFonts w:ascii="Roboto" w:hAnsi="Roboto" w:cstheme="minorBidi"/>
                                      <w:i/>
                                      <w:iCs/>
                                      <w:color w:val="F15C1B"/>
                                      <w:sz w:val="21"/>
                                      <w:szCs w:val="21"/>
                                    </w:rPr>
                                    <w:t xml:space="preserve"> </w:t>
                                  </w:r>
                                </w:p>
                              </w:txbxContent>
                            </wps:txbx>
                            <wps:bodyPr rot="0" spcFirstLastPara="0" vertOverflow="overflow" horzOverflow="overflow" vert="horz" wrap="square" lIns="73152" tIns="73152" rIns="73152" bIns="731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8EC6" id="_x0000_s1033" style="position:absolute;margin-left:-5.4pt;margin-top:336pt;width:90pt;height:153pt;z-index:251841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" fillcolor="window" strokecolor="#f15c1b">
                      <v:textbox inset="5.76pt,5.76pt,5.76pt,5.76pt">
                        <w:txbxContent>
                          <w:p w14:paraId="6359A785" w14:textId="77777777" w:rsidR="0062010B" w:rsidRDefault="00D22B3C" w:rsidP="00BF0F5C">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 xml:space="preserve">Role: </w:t>
                            </w:r>
                          </w:p>
                          <w:p w14:paraId="19337945" w14:textId="7CAE6E9B" w:rsidR="00D22B3C" w:rsidRPr="00954CD4" w:rsidRDefault="0062010B" w:rsidP="00D22B3C">
                            <w:pPr>
                              <w:textAlignment w:val="baseline"/>
                              <w:rPr>
                                <w:rFonts w:ascii="Roboto" w:hAnsi="Roboto" w:cstheme="minorBidi"/>
                                <w:color w:val="F15C1B"/>
                                <w:sz w:val="21"/>
                                <w:szCs w:val="21"/>
                              </w:rPr>
                            </w:pPr>
                            <w:r>
                              <w:rPr>
                                <w:rFonts w:ascii="Roboto" w:hAnsi="Roboto" w:cstheme="minorBidi"/>
                                <w:color w:val="F15C1B"/>
                                <w:sz w:val="21"/>
                                <w:szCs w:val="21"/>
                              </w:rPr>
                              <w:t>E</w:t>
                            </w:r>
                            <w:r w:rsidRPr="0062010B">
                              <w:rPr>
                                <w:rFonts w:ascii="Roboto" w:hAnsi="Roboto" w:cstheme="minorBidi"/>
                                <w:color w:val="F15C1B"/>
                                <w:sz w:val="21"/>
                                <w:szCs w:val="21"/>
                              </w:rPr>
                              <w:t>nsure coherent and efficient approach</w:t>
                            </w:r>
                            <w:r>
                              <w:rPr>
                                <w:rFonts w:ascii="Roboto" w:hAnsi="Roboto" w:cstheme="minorBidi"/>
                                <w:color w:val="F15C1B"/>
                                <w:sz w:val="21"/>
                                <w:szCs w:val="21"/>
                              </w:rPr>
                              <w:t>es</w:t>
                            </w:r>
                            <w:r w:rsidRPr="0062010B">
                              <w:rPr>
                                <w:rFonts w:ascii="Roboto" w:hAnsi="Roboto" w:cstheme="minorBidi"/>
                                <w:color w:val="F15C1B"/>
                                <w:sz w:val="21"/>
                                <w:szCs w:val="21"/>
                              </w:rPr>
                              <w:t xml:space="preserve"> across the UN system</w:t>
                            </w:r>
                            <w:r w:rsidRPr="0062010B">
                              <w:rPr>
                                <w:rFonts w:ascii="Roboto" w:hAnsi="Roboto" w:cstheme="minorBidi"/>
                                <w:b/>
                                <w:bCs/>
                                <w:color w:val="F15C1B"/>
                                <w:sz w:val="21"/>
                                <w:szCs w:val="21"/>
                              </w:rPr>
                              <w:t xml:space="preserve"> </w:t>
                            </w:r>
                            <w:r w:rsidR="00D22B3C" w:rsidRPr="005E6A97">
                              <w:rPr>
                                <w:rFonts w:ascii="Roboto" w:hAnsi="Roboto" w:cstheme="minorBidi"/>
                                <w:color w:val="F15C1B"/>
                                <w:sz w:val="21"/>
                                <w:szCs w:val="21"/>
                              </w:rPr>
                              <w:t>provid</w:t>
                            </w:r>
                            <w:r w:rsidRPr="0062010B">
                              <w:rPr>
                                <w:rFonts w:ascii="Roboto" w:hAnsi="Roboto" w:cstheme="minorBidi"/>
                                <w:color w:val="F15C1B"/>
                                <w:sz w:val="21"/>
                                <w:szCs w:val="21"/>
                              </w:rPr>
                              <w:t>ing</w:t>
                            </w:r>
                            <w:r w:rsidR="00D22B3C" w:rsidRPr="005E6A97">
                              <w:rPr>
                                <w:rFonts w:ascii="Roboto" w:hAnsi="Roboto" w:cstheme="minorBidi"/>
                                <w:color w:val="F15C1B"/>
                                <w:sz w:val="21"/>
                                <w:szCs w:val="21"/>
                              </w:rPr>
                              <w:t xml:space="preserve"> </w:t>
                            </w:r>
                            <w:r w:rsidR="00D22B3C" w:rsidRPr="0062010B">
                              <w:rPr>
                                <w:rFonts w:ascii="Roboto" w:hAnsi="Roboto" w:cstheme="minorBidi"/>
                                <w:color w:val="F15C1B"/>
                                <w:sz w:val="21"/>
                                <w:szCs w:val="21"/>
                              </w:rPr>
                              <w:t xml:space="preserve">strategy, policy, and </w:t>
                            </w:r>
                            <w:r w:rsidR="00D22B3C" w:rsidRPr="005E6A97">
                              <w:rPr>
                                <w:rFonts w:ascii="Roboto" w:hAnsi="Roboto" w:cstheme="minorBidi"/>
                                <w:color w:val="F15C1B"/>
                                <w:sz w:val="21"/>
                                <w:szCs w:val="21"/>
                              </w:rPr>
                              <w:t xml:space="preserve">technical </w:t>
                            </w:r>
                            <w:r w:rsidR="00D22B3C" w:rsidRPr="0062010B">
                              <w:rPr>
                                <w:rFonts w:ascii="Roboto" w:hAnsi="Roboto" w:cstheme="minorBidi"/>
                                <w:color w:val="F15C1B"/>
                                <w:sz w:val="21"/>
                                <w:szCs w:val="21"/>
                              </w:rPr>
                              <w:t>advice to the UNCT</w:t>
                            </w:r>
                            <w:r>
                              <w:rPr>
                                <w:rFonts w:ascii="Roboto" w:hAnsi="Roboto" w:cstheme="minorBidi"/>
                                <w:color w:val="F15C1B"/>
                                <w:sz w:val="21"/>
                                <w:szCs w:val="21"/>
                              </w:rPr>
                              <w:t>.</w:t>
                            </w:r>
                            <w:r w:rsidR="00D22B3C" w:rsidRPr="005E6A97">
                              <w:rPr>
                                <w:rFonts w:ascii="Roboto" w:hAnsi="Roboto" w:cstheme="minorBidi"/>
                                <w:i/>
                                <w:iCs/>
                                <w:color w:val="F15C1B"/>
                                <w:sz w:val="21"/>
                                <w:szCs w:val="21"/>
                              </w:rPr>
                              <w:t xml:space="preserve"> </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45710" behindDoc="0" locked="0" layoutInCell="1" allowOverlap="1" wp14:anchorId="2D39249C" wp14:editId="09E92FEB">
                      <wp:simplePos x="0" y="0"/>
                      <wp:positionH relativeFrom="column">
                        <wp:posOffset>4395470</wp:posOffset>
                      </wp:positionH>
                      <wp:positionV relativeFrom="paragraph">
                        <wp:posOffset>4260850</wp:posOffset>
                      </wp:positionV>
                      <wp:extent cx="1136650" cy="2247900"/>
                      <wp:effectExtent l="0" t="0" r="25400" b="19050"/>
                      <wp:wrapNone/>
                      <wp:docPr id="117" name="Rectangle 15"/>
                      <wp:cNvGraphicFramePr/>
                      <a:graphic xmlns:a="http://schemas.openxmlformats.org/drawingml/2006/main">
                        <a:graphicData uri="http://schemas.microsoft.com/office/word/2010/wordprocessingShape">
                          <wps:wsp>
                            <wps:cNvSpPr/>
                            <wps:spPr>
                              <a:xfrm>
                                <a:off x="0" y="0"/>
                                <a:ext cx="1136650" cy="2247900"/>
                              </a:xfrm>
                              <a:prstGeom prst="rect">
                                <a:avLst/>
                              </a:prstGeom>
                              <a:solidFill>
                                <a:sysClr val="window" lastClr="FFFFFF"/>
                              </a:solidFill>
                              <a:ln w="9525" cap="flat" cmpd="sng" algn="ctr">
                                <a:solidFill>
                                  <a:srgbClr val="F15C1B"/>
                                </a:solidFill>
                                <a:prstDash val="solid"/>
                                <a:miter lim="800000"/>
                              </a:ln>
                              <a:effectLst/>
                            </wps:spPr>
                            <wps:txbx>
                              <w:txbxContent>
                                <w:p w14:paraId="0E1A4DB8" w14:textId="77777777" w:rsidR="00B356F6" w:rsidRDefault="00B356F6" w:rsidP="00B356F6">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 xml:space="preserve">Role: </w:t>
                                  </w:r>
                                </w:p>
                                <w:p w14:paraId="22244FBB" w14:textId="3C21A09E" w:rsidR="00B356F6" w:rsidRPr="00954CD4" w:rsidRDefault="00B356F6" w:rsidP="00B356F6">
                                  <w:pPr>
                                    <w:textAlignment w:val="baseline"/>
                                    <w:rPr>
                                      <w:rFonts w:ascii="Roboto" w:hAnsi="Roboto" w:cstheme="minorBidi"/>
                                      <w:color w:val="F15C1B"/>
                                      <w:sz w:val="21"/>
                                      <w:szCs w:val="21"/>
                                    </w:rPr>
                                  </w:pPr>
                                  <w:r>
                                    <w:rPr>
                                      <w:rFonts w:ascii="Roboto" w:hAnsi="Roboto" w:cstheme="minorBidi"/>
                                      <w:color w:val="F15C1B"/>
                                      <w:sz w:val="21"/>
                                      <w:szCs w:val="21"/>
                                    </w:rPr>
                                    <w:t>E</w:t>
                                  </w:r>
                                  <w:r w:rsidRPr="0062010B">
                                    <w:rPr>
                                      <w:rFonts w:ascii="Roboto" w:hAnsi="Roboto" w:cstheme="minorBidi"/>
                                      <w:color w:val="F15C1B"/>
                                      <w:sz w:val="21"/>
                                      <w:szCs w:val="21"/>
                                    </w:rPr>
                                    <w:t>nsure coherent and efficient approach</w:t>
                                  </w:r>
                                  <w:r>
                                    <w:rPr>
                                      <w:rFonts w:ascii="Roboto" w:hAnsi="Roboto" w:cstheme="minorBidi"/>
                                      <w:color w:val="F15C1B"/>
                                      <w:sz w:val="21"/>
                                      <w:szCs w:val="21"/>
                                    </w:rPr>
                                    <w:t>es</w:t>
                                  </w:r>
                                  <w:r w:rsidR="00C248B6">
                                    <w:rPr>
                                      <w:rFonts w:ascii="Roboto" w:hAnsi="Roboto" w:cstheme="minorBidi"/>
                                      <w:color w:val="F15C1B"/>
                                      <w:sz w:val="21"/>
                                      <w:szCs w:val="21"/>
                                    </w:rPr>
                                    <w:t>,</w:t>
                                  </w:r>
                                  <w:r w:rsidRPr="0062010B">
                                    <w:rPr>
                                      <w:rFonts w:ascii="Roboto" w:hAnsi="Roboto" w:cstheme="minorBidi"/>
                                      <w:color w:val="F15C1B"/>
                                      <w:sz w:val="21"/>
                                      <w:szCs w:val="21"/>
                                    </w:rPr>
                                    <w:t xml:space="preserve"> across </w:t>
                                  </w:r>
                                  <w:r w:rsidR="00DB4077">
                                    <w:rPr>
                                      <w:rFonts w:ascii="Roboto" w:hAnsi="Roboto" w:cstheme="minorBidi"/>
                                      <w:color w:val="F15C1B"/>
                                      <w:sz w:val="21"/>
                                      <w:szCs w:val="21"/>
                                    </w:rPr>
                                    <w:t>the 4 Strategic Priority Areas of the UNSDCF to planning, joint programming, monitoring</w:t>
                                  </w:r>
                                  <w:r w:rsidR="00DB4077" w:rsidRPr="00DB4077">
                                    <w:rPr>
                                      <w:rFonts w:ascii="Roboto" w:hAnsi="Roboto" w:cstheme="minorBidi"/>
                                      <w:color w:val="F15C1B"/>
                                      <w:sz w:val="21"/>
                                      <w:szCs w:val="21"/>
                                    </w:rPr>
                                    <w:t>, evaluation, and reporting</w:t>
                                  </w:r>
                                  <w:r>
                                    <w:rPr>
                                      <w:rFonts w:ascii="Roboto" w:hAnsi="Roboto" w:cstheme="minorBidi"/>
                                      <w:color w:val="F15C1B"/>
                                      <w:sz w:val="21"/>
                                      <w:szCs w:val="21"/>
                                    </w:rPr>
                                    <w:t>.</w:t>
                                  </w:r>
                                  <w:r w:rsidRPr="005E6A97">
                                    <w:rPr>
                                      <w:rFonts w:ascii="Roboto" w:hAnsi="Roboto" w:cstheme="minorBidi"/>
                                      <w:i/>
                                      <w:iCs/>
                                      <w:color w:val="F15C1B"/>
                                      <w:sz w:val="21"/>
                                      <w:szCs w:val="21"/>
                                    </w:rPr>
                                    <w:t xml:space="preserve"> </w:t>
                                  </w:r>
                                </w:p>
                              </w:txbxContent>
                            </wps:txbx>
                            <wps:bodyPr rot="0" spcFirstLastPara="0" vertOverflow="overflow" horzOverflow="overflow" vert="horz" wrap="square" lIns="73152" tIns="73152" rIns="73152" bIns="731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9249C" id="_x0000_s1034" style="position:absolute;margin-left:346.1pt;margin-top:335.5pt;width:89.5pt;height:177pt;z-index:251845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" fillcolor="window" strokecolor="#f15c1b">
                      <v:textbox inset="5.76pt,5.76pt,5.76pt,5.76pt">
                        <w:txbxContent>
                          <w:p w14:paraId="0E1A4DB8" w14:textId="77777777" w:rsidR="00B356F6" w:rsidRDefault="00B356F6" w:rsidP="00B356F6">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 xml:space="preserve">Role: </w:t>
                            </w:r>
                          </w:p>
                          <w:p w14:paraId="22244FBB" w14:textId="3C21A09E" w:rsidR="00B356F6" w:rsidRPr="00954CD4" w:rsidRDefault="00B356F6" w:rsidP="00B356F6">
                            <w:pPr>
                              <w:textAlignment w:val="baseline"/>
                              <w:rPr>
                                <w:rFonts w:ascii="Roboto" w:hAnsi="Roboto" w:cstheme="minorBidi"/>
                                <w:color w:val="F15C1B"/>
                                <w:sz w:val="21"/>
                                <w:szCs w:val="21"/>
                              </w:rPr>
                            </w:pPr>
                            <w:r>
                              <w:rPr>
                                <w:rFonts w:ascii="Roboto" w:hAnsi="Roboto" w:cstheme="minorBidi"/>
                                <w:color w:val="F15C1B"/>
                                <w:sz w:val="21"/>
                                <w:szCs w:val="21"/>
                              </w:rPr>
                              <w:t>E</w:t>
                            </w:r>
                            <w:r w:rsidRPr="0062010B">
                              <w:rPr>
                                <w:rFonts w:ascii="Roboto" w:hAnsi="Roboto" w:cstheme="minorBidi"/>
                                <w:color w:val="F15C1B"/>
                                <w:sz w:val="21"/>
                                <w:szCs w:val="21"/>
                              </w:rPr>
                              <w:t>nsure coherent and efficient approach</w:t>
                            </w:r>
                            <w:r>
                              <w:rPr>
                                <w:rFonts w:ascii="Roboto" w:hAnsi="Roboto" w:cstheme="minorBidi"/>
                                <w:color w:val="F15C1B"/>
                                <w:sz w:val="21"/>
                                <w:szCs w:val="21"/>
                              </w:rPr>
                              <w:t>es</w:t>
                            </w:r>
                            <w:r w:rsidR="00C248B6">
                              <w:rPr>
                                <w:rFonts w:ascii="Roboto" w:hAnsi="Roboto" w:cstheme="minorBidi"/>
                                <w:color w:val="F15C1B"/>
                                <w:sz w:val="21"/>
                                <w:szCs w:val="21"/>
                              </w:rPr>
                              <w:t>,</w:t>
                            </w:r>
                            <w:r w:rsidRPr="0062010B">
                              <w:rPr>
                                <w:rFonts w:ascii="Roboto" w:hAnsi="Roboto" w:cstheme="minorBidi"/>
                                <w:color w:val="F15C1B"/>
                                <w:sz w:val="21"/>
                                <w:szCs w:val="21"/>
                              </w:rPr>
                              <w:t xml:space="preserve"> across </w:t>
                            </w:r>
                            <w:r w:rsidR="00DB4077">
                              <w:rPr>
                                <w:rFonts w:ascii="Roboto" w:hAnsi="Roboto" w:cstheme="minorBidi"/>
                                <w:color w:val="F15C1B"/>
                                <w:sz w:val="21"/>
                                <w:szCs w:val="21"/>
                              </w:rPr>
                              <w:t>the 4 Strategic Priority Areas of the UNSDCF to planning, joint programming, monitoring</w:t>
                            </w:r>
                            <w:r w:rsidR="00DB4077" w:rsidRPr="00DB4077">
                              <w:rPr>
                                <w:rFonts w:ascii="Roboto" w:hAnsi="Roboto" w:cstheme="minorBidi"/>
                                <w:color w:val="F15C1B"/>
                                <w:sz w:val="21"/>
                                <w:szCs w:val="21"/>
                              </w:rPr>
                              <w:t>, evaluation, and reporting</w:t>
                            </w:r>
                            <w:r>
                              <w:rPr>
                                <w:rFonts w:ascii="Roboto" w:hAnsi="Roboto" w:cstheme="minorBidi"/>
                                <w:color w:val="F15C1B"/>
                                <w:sz w:val="21"/>
                                <w:szCs w:val="21"/>
                              </w:rPr>
                              <w:t>.</w:t>
                            </w:r>
                            <w:r w:rsidRPr="005E6A97">
                              <w:rPr>
                                <w:rFonts w:ascii="Roboto" w:hAnsi="Roboto" w:cstheme="minorBidi"/>
                                <w:i/>
                                <w:iCs/>
                                <w:color w:val="F15C1B"/>
                                <w:sz w:val="21"/>
                                <w:szCs w:val="21"/>
                              </w:rPr>
                              <w:t xml:space="preserve"> </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39566" behindDoc="0" locked="0" layoutInCell="1" allowOverlap="1" wp14:anchorId="2C2802AB" wp14:editId="1D480DA2">
                      <wp:simplePos x="0" y="0"/>
                      <wp:positionH relativeFrom="column">
                        <wp:posOffset>1417320</wp:posOffset>
                      </wp:positionH>
                      <wp:positionV relativeFrom="paragraph">
                        <wp:posOffset>4267200</wp:posOffset>
                      </wp:positionV>
                      <wp:extent cx="2743200" cy="1143000"/>
                      <wp:effectExtent l="0" t="0" r="19050" b="19050"/>
                      <wp:wrapNone/>
                      <wp:docPr id="112" name="Rectangle 15"/>
                      <wp:cNvGraphicFramePr/>
                      <a:graphic xmlns:a="http://schemas.openxmlformats.org/drawingml/2006/main">
                        <a:graphicData uri="http://schemas.microsoft.com/office/word/2010/wordprocessingShape">
                          <wps:wsp>
                            <wps:cNvSpPr/>
                            <wps:spPr>
                              <a:xfrm>
                                <a:off x="0" y="0"/>
                                <a:ext cx="2743200" cy="1143000"/>
                              </a:xfrm>
                              <a:prstGeom prst="rect">
                                <a:avLst/>
                              </a:prstGeom>
                              <a:solidFill>
                                <a:sysClr val="window" lastClr="FFFFFF"/>
                              </a:solidFill>
                              <a:ln w="9525" cap="flat" cmpd="sng" algn="ctr">
                                <a:solidFill>
                                  <a:srgbClr val="F15C1B"/>
                                </a:solidFill>
                                <a:prstDash val="solid"/>
                                <a:miter lim="800000"/>
                              </a:ln>
                              <a:effectLst/>
                            </wps:spPr>
                            <wps:txbx>
                              <w:txbxContent>
                                <w:p w14:paraId="3AD7752F" w14:textId="77777777" w:rsidR="0062010B" w:rsidRDefault="005E6A97" w:rsidP="00D22B3C">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Role:</w:t>
                                  </w:r>
                                </w:p>
                                <w:p w14:paraId="38E725FF" w14:textId="299E0CBF" w:rsidR="005E6A97" w:rsidRPr="005E6A97" w:rsidRDefault="0062010B" w:rsidP="00D22B3C">
                                  <w:pPr>
                                    <w:textAlignment w:val="baseline"/>
                                    <w:rPr>
                                      <w:rFonts w:ascii="Roboto" w:hAnsi="Roboto" w:cstheme="minorBidi"/>
                                      <w:color w:val="F15C1B"/>
                                      <w:sz w:val="21"/>
                                      <w:szCs w:val="21"/>
                                    </w:rPr>
                                  </w:pPr>
                                  <w:r w:rsidRPr="0062010B">
                                    <w:rPr>
                                      <w:rFonts w:ascii="Roboto" w:hAnsi="Roboto" w:cstheme="minorBidi"/>
                                      <w:color w:val="F15C1B"/>
                                      <w:sz w:val="21"/>
                                      <w:szCs w:val="21"/>
                                    </w:rPr>
                                    <w:t>P</w:t>
                                  </w:r>
                                  <w:r w:rsidR="005E6A97" w:rsidRPr="005E6A97">
                                    <w:rPr>
                                      <w:rFonts w:ascii="Roboto" w:hAnsi="Roboto" w:cstheme="minorBidi"/>
                                      <w:color w:val="F15C1B"/>
                                      <w:sz w:val="21"/>
                                      <w:szCs w:val="21"/>
                                    </w:rPr>
                                    <w:t xml:space="preserve">rovide </w:t>
                                  </w:r>
                                  <w:r w:rsidR="005E6A97" w:rsidRPr="0062010B">
                                    <w:rPr>
                                      <w:rFonts w:ascii="Roboto" w:hAnsi="Roboto" w:cstheme="minorBidi"/>
                                      <w:color w:val="F15C1B"/>
                                      <w:sz w:val="21"/>
                                      <w:szCs w:val="21"/>
                                    </w:rPr>
                                    <w:t xml:space="preserve">strategy, policy, and </w:t>
                                  </w:r>
                                  <w:r w:rsidR="005E6A97" w:rsidRPr="005E6A97">
                                    <w:rPr>
                                      <w:rFonts w:ascii="Roboto" w:hAnsi="Roboto" w:cstheme="minorBidi"/>
                                      <w:color w:val="F15C1B"/>
                                      <w:sz w:val="21"/>
                                      <w:szCs w:val="21"/>
                                    </w:rPr>
                                    <w:t xml:space="preserve">technical </w:t>
                                  </w:r>
                                  <w:r w:rsidR="005E6A97" w:rsidRPr="0062010B">
                                    <w:rPr>
                                      <w:rFonts w:ascii="Roboto" w:hAnsi="Roboto" w:cstheme="minorBidi"/>
                                      <w:color w:val="F15C1B"/>
                                      <w:sz w:val="21"/>
                                      <w:szCs w:val="21"/>
                                    </w:rPr>
                                    <w:t>advice to the UNCT</w:t>
                                  </w:r>
                                  <w:r w:rsidR="005E6A97" w:rsidRPr="005E6A97">
                                    <w:rPr>
                                      <w:rFonts w:ascii="Roboto" w:hAnsi="Roboto" w:cstheme="minorBidi"/>
                                      <w:color w:val="F15C1B"/>
                                      <w:sz w:val="21"/>
                                      <w:szCs w:val="21"/>
                                    </w:rPr>
                                    <w:t xml:space="preserve"> and to the joint UN-KSA Steering Committee when needed.  The groups will </w:t>
                                  </w:r>
                                  <w:r w:rsidR="005E6A97" w:rsidRPr="0062010B">
                                    <w:rPr>
                                      <w:rFonts w:ascii="Roboto" w:hAnsi="Roboto" w:cstheme="minorBidi"/>
                                      <w:color w:val="F15C1B"/>
                                      <w:sz w:val="21"/>
                                      <w:szCs w:val="21"/>
                                    </w:rPr>
                                    <w:t xml:space="preserve">provide data and results reporting to the </w:t>
                                  </w:r>
                                  <w:r w:rsidR="005E6A97" w:rsidRPr="005E6A97">
                                    <w:rPr>
                                      <w:rFonts w:ascii="Roboto" w:hAnsi="Roboto" w:cstheme="minorBidi"/>
                                      <w:color w:val="F15C1B"/>
                                      <w:sz w:val="21"/>
                                      <w:szCs w:val="21"/>
                                    </w:rPr>
                                    <w:t xml:space="preserve">PMT and the UNCT. </w:t>
                                  </w:r>
                                </w:p>
                                <w:p w14:paraId="23ED9B71" w14:textId="77777777" w:rsidR="005E6A97" w:rsidRPr="00954CD4" w:rsidRDefault="005E6A97" w:rsidP="005E6A97">
                                  <w:pPr>
                                    <w:textAlignment w:val="baseline"/>
                                    <w:rPr>
                                      <w:rFonts w:ascii="Roboto" w:hAnsi="Roboto" w:cstheme="minorBidi"/>
                                      <w:color w:val="F15C1B"/>
                                      <w:sz w:val="21"/>
                                      <w:szCs w:val="21"/>
                                    </w:rPr>
                                  </w:pPr>
                                </w:p>
                              </w:txbxContent>
                            </wps:txbx>
                            <wps:bodyPr rot="0" spcFirstLastPara="0" vertOverflow="overflow" horzOverflow="overflow" vert="horz" wrap="square" lIns="73152" tIns="73152" rIns="73152" bIns="731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802AB" id="_x0000_s1035" style="position:absolute;margin-left:111.6pt;margin-top:336pt;width:3in;height:90pt;z-index:25183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" fillcolor="window" strokecolor="#f15c1b">
                      <v:textbox inset="5.76pt,5.76pt,5.76pt,5.76pt">
                        <w:txbxContent>
                          <w:p w14:paraId="3AD7752F" w14:textId="77777777" w:rsidR="0062010B" w:rsidRDefault="005E6A97" w:rsidP="00D22B3C">
                            <w:pPr>
                              <w:textAlignment w:val="baseline"/>
                              <w:rPr>
                                <w:rFonts w:ascii="Roboto" w:hAnsi="Roboto" w:cstheme="minorBidi"/>
                                <w:b/>
                                <w:bCs/>
                                <w:i/>
                                <w:iCs/>
                                <w:color w:val="F15C1B"/>
                                <w:sz w:val="21"/>
                                <w:szCs w:val="21"/>
                              </w:rPr>
                            </w:pPr>
                            <w:r w:rsidRPr="005E6A97">
                              <w:rPr>
                                <w:rFonts w:ascii="Roboto" w:hAnsi="Roboto" w:cstheme="minorBidi"/>
                                <w:b/>
                                <w:bCs/>
                                <w:i/>
                                <w:iCs/>
                                <w:color w:val="F15C1B"/>
                                <w:sz w:val="21"/>
                                <w:szCs w:val="21"/>
                              </w:rPr>
                              <w:t>Role:</w:t>
                            </w:r>
                          </w:p>
                          <w:p w14:paraId="38E725FF" w14:textId="299E0CBF" w:rsidR="005E6A97" w:rsidRPr="005E6A97" w:rsidRDefault="0062010B" w:rsidP="00D22B3C">
                            <w:pPr>
                              <w:textAlignment w:val="baseline"/>
                              <w:rPr>
                                <w:rFonts w:ascii="Roboto" w:hAnsi="Roboto" w:cstheme="minorBidi"/>
                                <w:color w:val="F15C1B"/>
                                <w:sz w:val="21"/>
                                <w:szCs w:val="21"/>
                              </w:rPr>
                            </w:pPr>
                            <w:r w:rsidRPr="0062010B">
                              <w:rPr>
                                <w:rFonts w:ascii="Roboto" w:hAnsi="Roboto" w:cstheme="minorBidi"/>
                                <w:color w:val="F15C1B"/>
                                <w:sz w:val="21"/>
                                <w:szCs w:val="21"/>
                              </w:rPr>
                              <w:t>P</w:t>
                            </w:r>
                            <w:r w:rsidR="005E6A97" w:rsidRPr="005E6A97">
                              <w:rPr>
                                <w:rFonts w:ascii="Roboto" w:hAnsi="Roboto" w:cstheme="minorBidi"/>
                                <w:color w:val="F15C1B"/>
                                <w:sz w:val="21"/>
                                <w:szCs w:val="21"/>
                              </w:rPr>
                              <w:t xml:space="preserve">rovide </w:t>
                            </w:r>
                            <w:r w:rsidR="005E6A97" w:rsidRPr="0062010B">
                              <w:rPr>
                                <w:rFonts w:ascii="Roboto" w:hAnsi="Roboto" w:cstheme="minorBidi"/>
                                <w:color w:val="F15C1B"/>
                                <w:sz w:val="21"/>
                                <w:szCs w:val="21"/>
                              </w:rPr>
                              <w:t xml:space="preserve">strategy, policy, and </w:t>
                            </w:r>
                            <w:r w:rsidR="005E6A97" w:rsidRPr="005E6A97">
                              <w:rPr>
                                <w:rFonts w:ascii="Roboto" w:hAnsi="Roboto" w:cstheme="minorBidi"/>
                                <w:color w:val="F15C1B"/>
                                <w:sz w:val="21"/>
                                <w:szCs w:val="21"/>
                              </w:rPr>
                              <w:t xml:space="preserve">technical </w:t>
                            </w:r>
                            <w:r w:rsidR="005E6A97" w:rsidRPr="0062010B">
                              <w:rPr>
                                <w:rFonts w:ascii="Roboto" w:hAnsi="Roboto" w:cstheme="minorBidi"/>
                                <w:color w:val="F15C1B"/>
                                <w:sz w:val="21"/>
                                <w:szCs w:val="21"/>
                              </w:rPr>
                              <w:t>advice to the UNCT</w:t>
                            </w:r>
                            <w:r w:rsidR="005E6A97" w:rsidRPr="005E6A97">
                              <w:rPr>
                                <w:rFonts w:ascii="Roboto" w:hAnsi="Roboto" w:cstheme="minorBidi"/>
                                <w:color w:val="F15C1B"/>
                                <w:sz w:val="21"/>
                                <w:szCs w:val="21"/>
                              </w:rPr>
                              <w:t xml:space="preserve"> and to the joint UN-KSA Steering Committee when needed.  The groups will </w:t>
                            </w:r>
                            <w:r w:rsidR="005E6A97" w:rsidRPr="0062010B">
                              <w:rPr>
                                <w:rFonts w:ascii="Roboto" w:hAnsi="Roboto" w:cstheme="minorBidi"/>
                                <w:color w:val="F15C1B"/>
                                <w:sz w:val="21"/>
                                <w:szCs w:val="21"/>
                              </w:rPr>
                              <w:t xml:space="preserve">provide data and results reporting to the </w:t>
                            </w:r>
                            <w:r w:rsidR="005E6A97" w:rsidRPr="005E6A97">
                              <w:rPr>
                                <w:rFonts w:ascii="Roboto" w:hAnsi="Roboto" w:cstheme="minorBidi"/>
                                <w:color w:val="F15C1B"/>
                                <w:sz w:val="21"/>
                                <w:szCs w:val="21"/>
                              </w:rPr>
                              <w:t xml:space="preserve">PMT and the UNCT. </w:t>
                            </w:r>
                          </w:p>
                          <w:p w14:paraId="23ED9B71" w14:textId="77777777" w:rsidR="005E6A97" w:rsidRPr="00954CD4" w:rsidRDefault="005E6A97" w:rsidP="005E6A97">
                            <w:pPr>
                              <w:textAlignment w:val="baseline"/>
                              <w:rPr>
                                <w:rFonts w:ascii="Roboto" w:hAnsi="Roboto" w:cstheme="minorBidi"/>
                                <w:color w:val="F15C1B"/>
                                <w:sz w:val="21"/>
                                <w:szCs w:val="21"/>
                              </w:rPr>
                            </w:pP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5230" behindDoc="0" locked="0" layoutInCell="1" allowOverlap="1" wp14:anchorId="4E311BFD" wp14:editId="05012E00">
                      <wp:simplePos x="0" y="0"/>
                      <wp:positionH relativeFrom="column">
                        <wp:posOffset>2903220</wp:posOffset>
                      </wp:positionH>
                      <wp:positionV relativeFrom="paragraph">
                        <wp:posOffset>3352800</wp:posOffset>
                      </wp:positionV>
                      <wp:extent cx="1257300" cy="800100"/>
                      <wp:effectExtent l="0" t="0" r="0" b="0"/>
                      <wp:wrapNone/>
                      <wp:docPr id="102"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2FB2DC"/>
                              </a:solidFill>
                              <a:ln w="9525" cap="flat" cmpd="sng" algn="ctr">
                                <a:noFill/>
                                <a:prstDash val="solid"/>
                                <a:miter lim="800000"/>
                              </a:ln>
                              <a:effectLst/>
                            </wps:spPr>
                            <wps:txbx>
                              <w:txbxContent>
                                <w:p w14:paraId="6ACFFF49"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Youth &amp; Children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1BFD" id="_x0000_s1036" style="position:absolute;margin-left:228.6pt;margin-top:264pt;width:99pt;height:63pt;z-index:251825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" fillcolor="#2fb2dc" stroked="f">
                      <v:textbox inset="5.76pt,5.76pt,5.76pt,5.76pt">
                        <w:txbxContent>
                          <w:p w14:paraId="6ACFFF49"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Youth &amp; Children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30350" behindDoc="0" locked="0" layoutInCell="1" allowOverlap="1" wp14:anchorId="0ACCDC53" wp14:editId="0CA0EDAD">
                      <wp:simplePos x="0" y="0"/>
                      <wp:positionH relativeFrom="column">
                        <wp:posOffset>2903220</wp:posOffset>
                      </wp:positionH>
                      <wp:positionV relativeFrom="paragraph">
                        <wp:posOffset>2438400</wp:posOffset>
                      </wp:positionV>
                      <wp:extent cx="1257300" cy="800100"/>
                      <wp:effectExtent l="0" t="0" r="0" b="0"/>
                      <wp:wrapNone/>
                      <wp:docPr id="107"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0173A8"/>
                              </a:solidFill>
                              <a:ln w="9525" cap="flat" cmpd="sng" algn="ctr">
                                <a:noFill/>
                                <a:prstDash val="solid"/>
                                <a:miter lim="800000"/>
                              </a:ln>
                              <a:effectLst/>
                            </wps:spPr>
                            <wps:txbx>
                              <w:txbxContent>
                                <w:p w14:paraId="3ACDFDC1"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Human Rights</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DC53" id="_x0000_s1037" style="position:absolute;margin-left:228.6pt;margin-top:192pt;width:99pt;height:63pt;z-index:251830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" fillcolor="#0173a8" stroked="f">
                      <v:textbox inset="5.76pt,5.76pt,5.76pt,5.76pt">
                        <w:txbxContent>
                          <w:p w14:paraId="3ACDFDC1"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Human Rights</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3182" behindDoc="0" locked="0" layoutInCell="1" allowOverlap="1" wp14:anchorId="03339209" wp14:editId="30DA6437">
                      <wp:simplePos x="0" y="0"/>
                      <wp:positionH relativeFrom="column">
                        <wp:posOffset>1417320</wp:posOffset>
                      </wp:positionH>
                      <wp:positionV relativeFrom="paragraph">
                        <wp:posOffset>3352800</wp:posOffset>
                      </wp:positionV>
                      <wp:extent cx="1257300" cy="800100"/>
                      <wp:effectExtent l="0" t="0" r="0" b="0"/>
                      <wp:wrapNone/>
                      <wp:docPr id="100"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F8B008"/>
                              </a:solidFill>
                              <a:ln w="9525" cap="flat" cmpd="sng" algn="ctr">
                                <a:noFill/>
                                <a:prstDash val="solid"/>
                                <a:miter lim="800000"/>
                              </a:ln>
                              <a:effectLst/>
                            </wps:spPr>
                            <wps:txbx>
                              <w:txbxContent>
                                <w:p w14:paraId="240CD5F5" w14:textId="13DB5D5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Partnership</w:t>
                                  </w:r>
                                  <w:r w:rsidR="00701584">
                                    <w:rPr>
                                      <w:rFonts w:ascii="Roboto" w:hAnsi="Roboto" w:cstheme="minorBidi"/>
                                      <w:color w:val="FFFFFF"/>
                                      <w:sz w:val="21"/>
                                      <w:szCs w:val="21"/>
                                    </w:rPr>
                                    <w:t>s</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9209" id="_x0000_s1038" style="position:absolute;margin-left:111.6pt;margin-top:264pt;width:99pt;height:63pt;z-index:251823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" fillcolor="#f8b008" stroked="f">
                      <v:textbox inset="5.76pt,5.76pt,5.76pt,5.76pt">
                        <w:txbxContent>
                          <w:p w14:paraId="240CD5F5" w14:textId="13DB5D5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Partnership</w:t>
                            </w:r>
                            <w:r w:rsidR="00701584">
                              <w:rPr>
                                <w:rFonts w:ascii="Roboto" w:hAnsi="Roboto" w:cstheme="minorBidi"/>
                                <w:color w:val="FFFFFF"/>
                                <w:sz w:val="21"/>
                                <w:szCs w:val="21"/>
                              </w:rPr>
                              <w:t>s</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6254" behindDoc="0" locked="0" layoutInCell="1" allowOverlap="1" wp14:anchorId="4DF8B938" wp14:editId="5D2D243A">
                      <wp:simplePos x="0" y="0"/>
                      <wp:positionH relativeFrom="column">
                        <wp:posOffset>1417320</wp:posOffset>
                      </wp:positionH>
                      <wp:positionV relativeFrom="paragraph">
                        <wp:posOffset>2438400</wp:posOffset>
                      </wp:positionV>
                      <wp:extent cx="1257300" cy="800100"/>
                      <wp:effectExtent l="0" t="0" r="0" b="0"/>
                      <wp:wrapNone/>
                      <wp:docPr id="103"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41B33C"/>
                              </a:solidFill>
                              <a:ln w="9525" cap="flat" cmpd="sng" algn="ctr">
                                <a:noFill/>
                                <a:prstDash val="solid"/>
                                <a:miter lim="800000"/>
                              </a:ln>
                              <a:effectLst/>
                            </wps:spPr>
                            <wps:txbx>
                              <w:txbxContent>
                                <w:p w14:paraId="2D497AC0" w14:textId="20DE992F"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Gender Equality and Empowerment</w:t>
                                  </w:r>
                                  <w:r w:rsidR="005E6A97">
                                    <w:rPr>
                                      <w:rFonts w:ascii="Roboto" w:hAnsi="Roboto" w:cstheme="minorBidi"/>
                                      <w:color w:val="FFFFFF"/>
                                      <w:sz w:val="21"/>
                                      <w:szCs w:val="21"/>
                                    </w:rPr>
                                    <w:t xml:space="preserve"> of Women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8B938" id="_x0000_s1039" style="position:absolute;margin-left:111.6pt;margin-top:192pt;width:99pt;height:63pt;z-index:251826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" fillcolor="#41b33c" stroked="f">
                      <v:textbox inset="5.76pt,5.76pt,5.76pt,5.76pt">
                        <w:txbxContent>
                          <w:p w14:paraId="2D497AC0" w14:textId="20DE992F"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Gender Equality and Empowerment</w:t>
                            </w:r>
                            <w:r w:rsidR="005E6A97">
                              <w:rPr>
                                <w:rFonts w:ascii="Roboto" w:hAnsi="Roboto" w:cstheme="minorBidi"/>
                                <w:color w:val="FFFFFF"/>
                                <w:sz w:val="21"/>
                                <w:szCs w:val="21"/>
                              </w:rPr>
                              <w:t xml:space="preserve"> of Women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7278" behindDoc="0" locked="0" layoutInCell="1" allowOverlap="1" wp14:anchorId="7773740A" wp14:editId="2DC1B88E">
                      <wp:simplePos x="0" y="0"/>
                      <wp:positionH relativeFrom="column">
                        <wp:posOffset>1417320</wp:posOffset>
                      </wp:positionH>
                      <wp:positionV relativeFrom="paragraph">
                        <wp:posOffset>1525905</wp:posOffset>
                      </wp:positionV>
                      <wp:extent cx="1257300" cy="800100"/>
                      <wp:effectExtent l="0" t="0" r="0" b="0"/>
                      <wp:wrapNone/>
                      <wp:docPr id="104"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E00985"/>
                              </a:solidFill>
                              <a:ln w="9525" cap="flat" cmpd="sng" algn="ctr">
                                <a:noFill/>
                                <a:prstDash val="solid"/>
                                <a:miter lim="800000"/>
                              </a:ln>
                              <a:effectLst/>
                            </wps:spPr>
                            <wps:txbx>
                              <w:txbxContent>
                                <w:p w14:paraId="7799C250"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Disability Inclusion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740A" id="_x0000_s1040" style="position:absolute;margin-left:111.6pt;margin-top:120.15pt;width:99pt;height:63pt;z-index:251827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" fillcolor="#e00985" stroked="f">
                      <v:textbox inset="5.76pt,5.76pt,5.76pt,5.76pt">
                        <w:txbxContent>
                          <w:p w14:paraId="7799C250"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Disability Inclusion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8302" behindDoc="0" locked="0" layoutInCell="1" allowOverlap="1" wp14:anchorId="25D7BA0C" wp14:editId="48393D3B">
                      <wp:simplePos x="0" y="0"/>
                      <wp:positionH relativeFrom="column">
                        <wp:posOffset>2903220</wp:posOffset>
                      </wp:positionH>
                      <wp:positionV relativeFrom="paragraph">
                        <wp:posOffset>1524000</wp:posOffset>
                      </wp:positionV>
                      <wp:extent cx="1257300" cy="800100"/>
                      <wp:effectExtent l="0" t="0" r="0" b="0"/>
                      <wp:wrapNone/>
                      <wp:docPr id="105"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rgbClr val="881634"/>
                              </a:solidFill>
                              <a:ln w="9525" cap="flat" cmpd="sng" algn="ctr">
                                <a:noFill/>
                                <a:prstDash val="solid"/>
                                <a:miter lim="800000"/>
                              </a:ln>
                              <a:effectLst/>
                            </wps:spPr>
                            <wps:txbx>
                              <w:txbxContent>
                                <w:p w14:paraId="520584F3"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Environment and Urban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7BA0C" id="_x0000_s1041" style="position:absolute;margin-left:228.6pt;margin-top:120pt;width:99pt;height:63pt;z-index:25182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" fillcolor="#881634" stroked="f">
                      <v:textbox inset="5.76pt,5.76pt,5.76pt,5.76pt">
                        <w:txbxContent>
                          <w:p w14:paraId="520584F3" w14:textId="77777777" w:rsidR="00B85F8C" w:rsidRPr="00701584" w:rsidRDefault="00B85F8C" w:rsidP="00B85F8C">
                            <w:pPr>
                              <w:jc w:val="center"/>
                              <w:textAlignment w:val="baseline"/>
                              <w:rPr>
                                <w:rFonts w:ascii="Roboto" w:hAnsi="Roboto" w:cstheme="minorBidi"/>
                                <w:color w:val="FFFFFF"/>
                                <w:sz w:val="21"/>
                                <w:szCs w:val="21"/>
                              </w:rPr>
                            </w:pPr>
                            <w:r w:rsidRPr="00701584">
                              <w:rPr>
                                <w:rFonts w:ascii="Roboto" w:hAnsi="Roboto" w:cstheme="minorBidi"/>
                                <w:color w:val="FFFFFF"/>
                                <w:sz w:val="21"/>
                                <w:szCs w:val="21"/>
                              </w:rPr>
                              <w:t>Environment and Urban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43662" behindDoc="0" locked="0" layoutInCell="1" allowOverlap="1" wp14:anchorId="6F3F49B3" wp14:editId="4D1DF54D">
                      <wp:simplePos x="0" y="0"/>
                      <wp:positionH relativeFrom="column">
                        <wp:posOffset>4394200</wp:posOffset>
                      </wp:positionH>
                      <wp:positionV relativeFrom="paragraph">
                        <wp:posOffset>1520825</wp:posOffset>
                      </wp:positionV>
                      <wp:extent cx="1257300" cy="800100"/>
                      <wp:effectExtent l="0" t="0" r="0" b="0"/>
                      <wp:wrapNone/>
                      <wp:docPr id="116" name="Rectangle 15"/>
                      <wp:cNvGraphicFramePr/>
                      <a:graphic xmlns:a="http://schemas.openxmlformats.org/drawingml/2006/main">
                        <a:graphicData uri="http://schemas.microsoft.com/office/word/2010/wordprocessingShape">
                          <wps:wsp>
                            <wps:cNvSpPr/>
                            <wps:spPr>
                              <a:xfrm>
                                <a:off x="0" y="0"/>
                                <a:ext cx="1257300" cy="800100"/>
                              </a:xfrm>
                              <a:prstGeom prst="rect">
                                <a:avLst/>
                              </a:prstGeom>
                              <a:solidFill>
                                <a:schemeClr val="accent5">
                                  <a:lumMod val="50000"/>
                                </a:schemeClr>
                              </a:solidFill>
                              <a:ln w="9525" cap="flat" cmpd="sng" algn="ctr">
                                <a:noFill/>
                                <a:prstDash val="solid"/>
                                <a:miter lim="800000"/>
                              </a:ln>
                              <a:effectLst/>
                            </wps:spPr>
                            <wps:txbx>
                              <w:txbxContent>
                                <w:p w14:paraId="70F10A14" w14:textId="1ED60504" w:rsidR="00302F4A" w:rsidRPr="00701584" w:rsidRDefault="00B356F6" w:rsidP="00302F4A">
                                  <w:pPr>
                                    <w:jc w:val="center"/>
                                    <w:textAlignment w:val="baseline"/>
                                    <w:rPr>
                                      <w:rFonts w:ascii="Roboto" w:hAnsi="Roboto" w:cstheme="minorBidi"/>
                                      <w:color w:val="FFFFFF"/>
                                      <w:sz w:val="21"/>
                                      <w:szCs w:val="21"/>
                                    </w:rPr>
                                  </w:pPr>
                                  <w:r>
                                    <w:rPr>
                                      <w:rFonts w:ascii="Roboto" w:hAnsi="Roboto" w:cstheme="minorBidi"/>
                                      <w:color w:val="FFFFFF"/>
                                      <w:sz w:val="21"/>
                                      <w:szCs w:val="21"/>
                                    </w:rPr>
                                    <w:t>Programme Management Team</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49B3" id="_x0000_s1042" style="position:absolute;margin-left:346pt;margin-top:119.75pt;width:99pt;height:63pt;z-index:251843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" fillcolor="#1f4d78 [1608]" stroked="f">
                      <v:textbox inset="5.76pt,5.76pt,5.76pt,5.76pt">
                        <w:txbxContent>
                          <w:p w14:paraId="70F10A14" w14:textId="1ED60504" w:rsidR="00302F4A" w:rsidRPr="00701584" w:rsidRDefault="00B356F6" w:rsidP="00302F4A">
                            <w:pPr>
                              <w:jc w:val="center"/>
                              <w:textAlignment w:val="baseline"/>
                              <w:rPr>
                                <w:rFonts w:ascii="Roboto" w:hAnsi="Roboto" w:cstheme="minorBidi"/>
                                <w:color w:val="FFFFFF"/>
                                <w:sz w:val="21"/>
                                <w:szCs w:val="21"/>
                              </w:rPr>
                            </w:pPr>
                            <w:r>
                              <w:rPr>
                                <w:rFonts w:ascii="Roboto" w:hAnsi="Roboto" w:cstheme="minorBidi"/>
                                <w:color w:val="FFFFFF"/>
                                <w:sz w:val="21"/>
                                <w:szCs w:val="21"/>
                              </w:rPr>
                              <w:t>Programme Management Team</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657224" behindDoc="0" locked="0" layoutInCell="1" allowOverlap="1" wp14:anchorId="0A3676C1" wp14:editId="501DD95E">
                      <wp:simplePos x="0" y="0"/>
                      <wp:positionH relativeFrom="column">
                        <wp:posOffset>1296670</wp:posOffset>
                      </wp:positionH>
                      <wp:positionV relativeFrom="paragraph">
                        <wp:posOffset>1409700</wp:posOffset>
                      </wp:positionV>
                      <wp:extent cx="4343400" cy="3086100"/>
                      <wp:effectExtent l="0" t="0" r="19050" b="19050"/>
                      <wp:wrapNone/>
                      <wp:docPr id="108" name="Rectangle 15"/>
                      <wp:cNvGraphicFramePr/>
                      <a:graphic xmlns:a="http://schemas.openxmlformats.org/drawingml/2006/main">
                        <a:graphicData uri="http://schemas.microsoft.com/office/word/2010/wordprocessingShape">
                          <wps:wsp>
                            <wps:cNvSpPr/>
                            <wps:spPr>
                              <a:xfrm>
                                <a:off x="0" y="0"/>
                                <a:ext cx="4343400" cy="30861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2E126478" w14:textId="4DD1492C" w:rsidR="00B85F8C" w:rsidRPr="00BB360F" w:rsidRDefault="00B85F8C" w:rsidP="00B85F8C">
                                  <w:pPr>
                                    <w:jc w:val="center"/>
                                    <w:textAlignment w:val="baseline"/>
                                    <w:rPr>
                                      <w:rFonts w:ascii="Roboto" w:hAnsi="Roboto" w:cstheme="minorBidi"/>
                                      <w:color w:val="F15C1B"/>
                                      <w:sz w:val="22"/>
                                      <w:szCs w:val="22"/>
                                    </w:rPr>
                                  </w:pP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676C1" id="_x0000_s1043" style="position:absolute;margin-left:102.1pt;margin-top:111pt;width:342pt;height:243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" fillcolor="window" strokecolor="#1f4d78 [1608]">
                      <v:textbox inset="5.76pt,5.76pt,5.76pt,5.76pt">
                        <w:txbxContent>
                          <w:p w14:paraId="2E126478" w14:textId="4DD1492C" w:rsidR="00B85F8C" w:rsidRPr="00BB360F" w:rsidRDefault="00B85F8C" w:rsidP="00B85F8C">
                            <w:pPr>
                              <w:jc w:val="center"/>
                              <w:textAlignment w:val="baseline"/>
                              <w:rPr>
                                <w:rFonts w:ascii="Roboto" w:hAnsi="Roboto" w:cstheme="minorBidi"/>
                                <w:color w:val="F15C1B"/>
                                <w:sz w:val="22"/>
                                <w:szCs w:val="22"/>
                              </w:rPr>
                            </w:pP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37518" behindDoc="0" locked="0" layoutInCell="1" allowOverlap="1" wp14:anchorId="1E5A7F8F" wp14:editId="6744E201">
                      <wp:simplePos x="0" y="0"/>
                      <wp:positionH relativeFrom="column">
                        <wp:posOffset>-62230</wp:posOffset>
                      </wp:positionH>
                      <wp:positionV relativeFrom="paragraph">
                        <wp:posOffset>3352800</wp:posOffset>
                      </wp:positionV>
                      <wp:extent cx="1143000" cy="800100"/>
                      <wp:effectExtent l="0" t="0" r="0" b="0"/>
                      <wp:wrapNone/>
                      <wp:docPr id="111" name="Rectangle 15"/>
                      <wp:cNvGraphicFramePr/>
                      <a:graphic xmlns:a="http://schemas.openxmlformats.org/drawingml/2006/main">
                        <a:graphicData uri="http://schemas.microsoft.com/office/word/2010/wordprocessingShape">
                          <wps:wsp>
                            <wps:cNvSpPr/>
                            <wps:spPr>
                              <a:xfrm>
                                <a:off x="0" y="0"/>
                                <a:ext cx="1143000" cy="800100"/>
                              </a:xfrm>
                              <a:prstGeom prst="rect">
                                <a:avLst/>
                              </a:prstGeom>
                              <a:solidFill>
                                <a:srgbClr val="0173A8"/>
                              </a:solidFill>
                              <a:ln w="9525" cap="flat" cmpd="sng" algn="ctr">
                                <a:noFill/>
                                <a:prstDash val="solid"/>
                                <a:miter lim="800000"/>
                              </a:ln>
                              <a:effectLst/>
                            </wps:spPr>
                            <wps:txbx>
                              <w:txbxContent>
                                <w:p w14:paraId="3D3E98DB" w14:textId="77777777" w:rsidR="00D32E4A" w:rsidRPr="00954CD4" w:rsidRDefault="00D32E4A" w:rsidP="00D32E4A">
                                  <w:pPr>
                                    <w:jc w:val="center"/>
                                    <w:textAlignment w:val="baseline"/>
                                    <w:rPr>
                                      <w:rFonts w:ascii="Roboto" w:hAnsi="Roboto" w:cstheme="minorBidi"/>
                                      <w:color w:val="FFFFFF"/>
                                      <w:sz w:val="21"/>
                                      <w:szCs w:val="21"/>
                                    </w:rPr>
                                  </w:pPr>
                                  <w:r w:rsidRPr="00954CD4">
                                    <w:rPr>
                                      <w:rFonts w:ascii="Roboto" w:hAnsi="Roboto" w:cstheme="minorBidi"/>
                                      <w:color w:val="FFFFFF"/>
                                      <w:sz w:val="21"/>
                                      <w:szCs w:val="21"/>
                                    </w:rPr>
                                    <w:t>UN Network on Migration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7F8F" id="_x0000_s1044" style="position:absolute;margin-left:-4.9pt;margin-top:264pt;width:90pt;height:63pt;z-index:251837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" fillcolor="#0173a8" stroked="f">
                      <v:textbox inset="5.76pt,5.76pt,5.76pt,5.76pt">
                        <w:txbxContent>
                          <w:p w14:paraId="3D3E98DB" w14:textId="77777777" w:rsidR="00D32E4A" w:rsidRPr="00954CD4" w:rsidRDefault="00D32E4A" w:rsidP="00D32E4A">
                            <w:pPr>
                              <w:jc w:val="center"/>
                              <w:textAlignment w:val="baseline"/>
                              <w:rPr>
                                <w:rFonts w:ascii="Roboto" w:hAnsi="Roboto" w:cstheme="minorBidi"/>
                                <w:color w:val="FFFFFF"/>
                                <w:sz w:val="21"/>
                                <w:szCs w:val="21"/>
                              </w:rPr>
                            </w:pPr>
                            <w:r w:rsidRPr="00954CD4">
                              <w:rPr>
                                <w:rFonts w:ascii="Roboto" w:hAnsi="Roboto" w:cstheme="minorBidi"/>
                                <w:color w:val="FFFFFF"/>
                                <w:sz w:val="21"/>
                                <w:szCs w:val="21"/>
                              </w:rPr>
                              <w:t>UN Network on Migration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9326" behindDoc="0" locked="0" layoutInCell="1" allowOverlap="1" wp14:anchorId="592E9732" wp14:editId="46E64DC0">
                      <wp:simplePos x="0" y="0"/>
                      <wp:positionH relativeFrom="column">
                        <wp:posOffset>-62230</wp:posOffset>
                      </wp:positionH>
                      <wp:positionV relativeFrom="paragraph">
                        <wp:posOffset>2438400</wp:posOffset>
                      </wp:positionV>
                      <wp:extent cx="1143000" cy="800100"/>
                      <wp:effectExtent l="0" t="0" r="0" b="0"/>
                      <wp:wrapNone/>
                      <wp:docPr id="106" name="Rectangle 15"/>
                      <wp:cNvGraphicFramePr/>
                      <a:graphic xmlns:a="http://schemas.openxmlformats.org/drawingml/2006/main">
                        <a:graphicData uri="http://schemas.microsoft.com/office/word/2010/wordprocessingShape">
                          <wps:wsp>
                            <wps:cNvSpPr/>
                            <wps:spPr>
                              <a:xfrm>
                                <a:off x="0" y="0"/>
                                <a:ext cx="1143000" cy="800100"/>
                              </a:xfrm>
                              <a:prstGeom prst="rect">
                                <a:avLst/>
                              </a:prstGeom>
                              <a:solidFill>
                                <a:schemeClr val="accent1">
                                  <a:lumMod val="60000"/>
                                  <a:lumOff val="40000"/>
                                </a:schemeClr>
                              </a:solidFill>
                              <a:ln w="9525" cap="flat" cmpd="sng" algn="ctr">
                                <a:noFill/>
                                <a:prstDash val="solid"/>
                                <a:miter lim="800000"/>
                              </a:ln>
                              <a:effectLst/>
                            </wps:spPr>
                            <wps:txbx>
                              <w:txbxContent>
                                <w:p w14:paraId="4324EE0F" w14:textId="0EA96F6F" w:rsidR="00B85F8C" w:rsidRPr="00954CD4" w:rsidRDefault="00D32E4A" w:rsidP="00B85F8C">
                                  <w:pPr>
                                    <w:jc w:val="center"/>
                                    <w:textAlignment w:val="baseline"/>
                                    <w:rPr>
                                      <w:rFonts w:ascii="Roboto" w:hAnsi="Roboto" w:cstheme="minorBidi"/>
                                      <w:color w:val="FFFFFF"/>
                                      <w:sz w:val="21"/>
                                      <w:szCs w:val="21"/>
                                    </w:rPr>
                                  </w:pPr>
                                  <w:r>
                                    <w:rPr>
                                      <w:rFonts w:ascii="Roboto" w:hAnsi="Roboto" w:cstheme="minorBidi"/>
                                      <w:color w:val="FFFFFF"/>
                                      <w:sz w:val="21"/>
                                      <w:szCs w:val="21"/>
                                    </w:rPr>
                                    <w:t>Operations Management Team</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E9732" id="_x0000_s1045" style="position:absolute;margin-left:-4.9pt;margin-top:192pt;width:90pt;height:63pt;z-index:251829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" fillcolor="#8eaadb [1940]" stroked="f">
                      <v:textbox inset="5.76pt,5.76pt,5.76pt,5.76pt">
                        <w:txbxContent>
                          <w:p w14:paraId="4324EE0F" w14:textId="0EA96F6F" w:rsidR="00B85F8C" w:rsidRPr="00954CD4" w:rsidRDefault="00D32E4A" w:rsidP="00B85F8C">
                            <w:pPr>
                              <w:jc w:val="center"/>
                              <w:textAlignment w:val="baseline"/>
                              <w:rPr>
                                <w:rFonts w:ascii="Roboto" w:hAnsi="Roboto" w:cstheme="minorBidi"/>
                                <w:color w:val="FFFFFF"/>
                                <w:sz w:val="21"/>
                                <w:szCs w:val="21"/>
                              </w:rPr>
                            </w:pPr>
                            <w:r>
                              <w:rPr>
                                <w:rFonts w:ascii="Roboto" w:hAnsi="Roboto" w:cstheme="minorBidi"/>
                                <w:color w:val="FFFFFF"/>
                                <w:sz w:val="21"/>
                                <w:szCs w:val="21"/>
                              </w:rPr>
                              <w:t>Operations Management Team</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24206" behindDoc="0" locked="0" layoutInCell="1" allowOverlap="1" wp14:anchorId="08595A51" wp14:editId="591C1C27">
                      <wp:simplePos x="0" y="0"/>
                      <wp:positionH relativeFrom="column">
                        <wp:posOffset>-62230</wp:posOffset>
                      </wp:positionH>
                      <wp:positionV relativeFrom="paragraph">
                        <wp:posOffset>1524000</wp:posOffset>
                      </wp:positionV>
                      <wp:extent cx="1143000" cy="800100"/>
                      <wp:effectExtent l="0" t="0" r="0" b="0"/>
                      <wp:wrapNone/>
                      <wp:docPr id="101" name="Rectangle 15"/>
                      <wp:cNvGraphicFramePr/>
                      <a:graphic xmlns:a="http://schemas.openxmlformats.org/drawingml/2006/main">
                        <a:graphicData uri="http://schemas.microsoft.com/office/word/2010/wordprocessingShape">
                          <wps:wsp>
                            <wps:cNvSpPr/>
                            <wps:spPr>
                              <a:xfrm>
                                <a:off x="0" y="0"/>
                                <a:ext cx="1143000" cy="800100"/>
                              </a:xfrm>
                              <a:prstGeom prst="rect">
                                <a:avLst/>
                              </a:prstGeom>
                              <a:solidFill>
                                <a:srgbClr val="D72232"/>
                              </a:solidFill>
                              <a:ln w="9525" cap="flat" cmpd="sng" algn="ctr">
                                <a:noFill/>
                                <a:prstDash val="solid"/>
                                <a:miter lim="800000"/>
                              </a:ln>
                              <a:effectLst/>
                            </wps:spPr>
                            <wps:txbx>
                              <w:txbxContent>
                                <w:p w14:paraId="06EBDF49" w14:textId="48C08061" w:rsidR="00B85F8C" w:rsidRPr="00954CD4" w:rsidRDefault="00B85F8C" w:rsidP="00B85F8C">
                                  <w:pPr>
                                    <w:jc w:val="center"/>
                                    <w:textAlignment w:val="baseline"/>
                                    <w:rPr>
                                      <w:rFonts w:ascii="Roboto" w:hAnsi="Roboto" w:cstheme="minorBidi"/>
                                      <w:color w:val="FFFFFF"/>
                                      <w:sz w:val="21"/>
                                      <w:szCs w:val="21"/>
                                    </w:rPr>
                                  </w:pPr>
                                  <w:r w:rsidRPr="00954CD4">
                                    <w:rPr>
                                      <w:rFonts w:ascii="Roboto" w:hAnsi="Roboto" w:cstheme="minorBidi"/>
                                      <w:color w:val="FFFFFF"/>
                                      <w:sz w:val="21"/>
                                      <w:szCs w:val="21"/>
                                    </w:rPr>
                                    <w:t>Communication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95A51" id="_x0000_s1046" style="position:absolute;margin-left:-4.9pt;margin-top:120pt;width:90pt;height:63pt;z-index:251824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" fillcolor="#d72232" stroked="f">
                      <v:textbox inset="5.76pt,5.76pt,5.76pt,5.76pt">
                        <w:txbxContent>
                          <w:p w14:paraId="06EBDF49" w14:textId="48C08061" w:rsidR="00B85F8C" w:rsidRPr="00954CD4" w:rsidRDefault="00B85F8C" w:rsidP="00B85F8C">
                            <w:pPr>
                              <w:jc w:val="center"/>
                              <w:textAlignment w:val="baseline"/>
                              <w:rPr>
                                <w:rFonts w:ascii="Roboto" w:hAnsi="Roboto" w:cstheme="minorBidi"/>
                                <w:color w:val="FFFFFF"/>
                                <w:sz w:val="21"/>
                                <w:szCs w:val="21"/>
                              </w:rPr>
                            </w:pPr>
                            <w:r w:rsidRPr="00954CD4">
                              <w:rPr>
                                <w:rFonts w:ascii="Roboto" w:hAnsi="Roboto" w:cstheme="minorBidi"/>
                                <w:color w:val="FFFFFF"/>
                                <w:sz w:val="21"/>
                                <w:szCs w:val="21"/>
                              </w:rPr>
                              <w:t>Communication</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35470" behindDoc="0" locked="0" layoutInCell="1" allowOverlap="1" wp14:anchorId="7E9A494B" wp14:editId="25AE8649">
                      <wp:simplePos x="0" y="0"/>
                      <wp:positionH relativeFrom="column">
                        <wp:posOffset>2446020</wp:posOffset>
                      </wp:positionH>
                      <wp:positionV relativeFrom="paragraph">
                        <wp:posOffset>723900</wp:posOffset>
                      </wp:positionV>
                      <wp:extent cx="2057400" cy="571500"/>
                      <wp:effectExtent l="0" t="0" r="19050" b="19050"/>
                      <wp:wrapNone/>
                      <wp:docPr id="110" name="Rectangle 15"/>
                      <wp:cNvGraphicFramePr/>
                      <a:graphic xmlns:a="http://schemas.openxmlformats.org/drawingml/2006/main">
                        <a:graphicData uri="http://schemas.microsoft.com/office/word/2010/wordprocessingShape">
                          <wps:wsp>
                            <wps:cNvSpPr/>
                            <wps:spPr>
                              <a:xfrm>
                                <a:off x="0" y="0"/>
                                <a:ext cx="2057400" cy="571500"/>
                              </a:xfrm>
                              <a:prstGeom prst="rect">
                                <a:avLst/>
                              </a:prstGeom>
                              <a:solidFill>
                                <a:sysClr val="window" lastClr="FFFFFF"/>
                              </a:solidFill>
                              <a:ln w="9525" cap="flat" cmpd="sng" algn="ctr">
                                <a:solidFill>
                                  <a:srgbClr val="F15C1B"/>
                                </a:solidFill>
                                <a:prstDash val="solid"/>
                                <a:miter lim="800000"/>
                              </a:ln>
                              <a:effectLst/>
                            </wps:spPr>
                            <wps:txbx>
                              <w:txbxContent>
                                <w:p w14:paraId="39215A9D" w14:textId="642E7435" w:rsidR="00FD140A" w:rsidRPr="00BF0F5C" w:rsidRDefault="00954CD4" w:rsidP="00FD140A">
                                  <w:pPr>
                                    <w:jc w:val="center"/>
                                    <w:textAlignment w:val="baseline"/>
                                    <w:rPr>
                                      <w:rFonts w:ascii="Roboto" w:hAnsi="Roboto" w:cstheme="minorBidi"/>
                                      <w:b/>
                                      <w:bCs/>
                                      <w:color w:val="F15C1B"/>
                                      <w:sz w:val="21"/>
                                      <w:szCs w:val="21"/>
                                    </w:rPr>
                                  </w:pPr>
                                  <w:r w:rsidRPr="00BF0F5C">
                                    <w:rPr>
                                      <w:rFonts w:ascii="Roboto" w:hAnsi="Roboto" w:cstheme="minorBidi"/>
                                      <w:b/>
                                      <w:bCs/>
                                      <w:color w:val="F15C1B"/>
                                      <w:sz w:val="21"/>
                                      <w:szCs w:val="21"/>
                                    </w:rPr>
                                    <w:t>Advisory</w:t>
                                  </w:r>
                                  <w:r w:rsidR="00FD140A" w:rsidRPr="00BF0F5C">
                                    <w:rPr>
                                      <w:rFonts w:ascii="Roboto" w:hAnsi="Roboto" w:cstheme="minorBidi"/>
                                      <w:b/>
                                      <w:bCs/>
                                      <w:color w:val="F15C1B"/>
                                      <w:sz w:val="21"/>
                                      <w:szCs w:val="21"/>
                                    </w:rPr>
                                    <w:t xml:space="preserve"> Groups</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494B" id="_x0000_s1047" style="position:absolute;margin-left:192.6pt;margin-top:57pt;width:162pt;height:45pt;z-index:251835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" fillcolor="window" strokecolor="#f15c1b">
                      <v:textbox inset="5.76pt,5.76pt,5.76pt,5.76pt">
                        <w:txbxContent>
                          <w:p w14:paraId="39215A9D" w14:textId="642E7435" w:rsidR="00FD140A" w:rsidRPr="00BF0F5C" w:rsidRDefault="00954CD4" w:rsidP="00FD140A">
                            <w:pPr>
                              <w:jc w:val="center"/>
                              <w:textAlignment w:val="baseline"/>
                              <w:rPr>
                                <w:rFonts w:ascii="Roboto" w:hAnsi="Roboto" w:cstheme="minorBidi"/>
                                <w:b/>
                                <w:bCs/>
                                <w:color w:val="F15C1B"/>
                                <w:sz w:val="21"/>
                                <w:szCs w:val="21"/>
                              </w:rPr>
                            </w:pPr>
                            <w:r w:rsidRPr="00BF0F5C">
                              <w:rPr>
                                <w:rFonts w:ascii="Roboto" w:hAnsi="Roboto" w:cstheme="minorBidi"/>
                                <w:b/>
                                <w:bCs/>
                                <w:color w:val="F15C1B"/>
                                <w:sz w:val="21"/>
                                <w:szCs w:val="21"/>
                              </w:rPr>
                              <w:t>Advisory</w:t>
                            </w:r>
                            <w:r w:rsidR="00FD140A" w:rsidRPr="00BF0F5C">
                              <w:rPr>
                                <w:rFonts w:ascii="Roboto" w:hAnsi="Roboto" w:cstheme="minorBidi"/>
                                <w:b/>
                                <w:bCs/>
                                <w:color w:val="F15C1B"/>
                                <w:sz w:val="21"/>
                                <w:szCs w:val="21"/>
                              </w:rPr>
                              <w:t xml:space="preserve"> Groups</w:t>
                            </w:r>
                          </w:p>
                        </w:txbxContent>
                      </v:textbox>
                    </v:rect>
                  </w:pict>
                </mc:Fallback>
              </mc:AlternateContent>
            </w:r>
            <w:r w:rsidRPr="00B04BB6">
              <w:rPr>
                <w:rFonts w:ascii="Roboto" w:hAnsi="Roboto" w:cs="Calibri"/>
                <w:noProof/>
                <w:color w:val="404040" w:themeColor="text1" w:themeTint="BF"/>
                <w:sz w:val="21"/>
                <w:szCs w:val="21"/>
              </w:rPr>
              <mc:AlternateContent>
                <mc:Choice Requires="wps">
                  <w:drawing>
                    <wp:anchor distT="0" distB="0" distL="114300" distR="114300" simplePos="0" relativeHeight="251833422" behindDoc="0" locked="0" layoutInCell="1" allowOverlap="1" wp14:anchorId="2AC9C7AD" wp14:editId="200C20A8">
                      <wp:simplePos x="0" y="0"/>
                      <wp:positionH relativeFrom="column">
                        <wp:posOffset>-62230</wp:posOffset>
                      </wp:positionH>
                      <wp:positionV relativeFrom="paragraph">
                        <wp:posOffset>725170</wp:posOffset>
                      </wp:positionV>
                      <wp:extent cx="1143000" cy="571500"/>
                      <wp:effectExtent l="0" t="0" r="19050" b="19050"/>
                      <wp:wrapNone/>
                      <wp:docPr id="109" name="Rectangle 15"/>
                      <wp:cNvGraphicFramePr/>
                      <a:graphic xmlns:a="http://schemas.openxmlformats.org/drawingml/2006/main">
                        <a:graphicData uri="http://schemas.microsoft.com/office/word/2010/wordprocessingShape">
                          <wps:wsp>
                            <wps:cNvSpPr/>
                            <wps:spPr>
                              <a:xfrm>
                                <a:off x="0" y="0"/>
                                <a:ext cx="1143000" cy="571500"/>
                              </a:xfrm>
                              <a:prstGeom prst="rect">
                                <a:avLst/>
                              </a:prstGeom>
                              <a:solidFill>
                                <a:sysClr val="window" lastClr="FFFFFF"/>
                              </a:solidFill>
                              <a:ln w="9525" cap="flat" cmpd="sng" algn="ctr">
                                <a:solidFill>
                                  <a:srgbClr val="F15C1B"/>
                                </a:solidFill>
                                <a:prstDash val="solid"/>
                                <a:miter lim="800000"/>
                              </a:ln>
                              <a:effectLst/>
                            </wps:spPr>
                            <wps:txbx>
                              <w:txbxContent>
                                <w:p w14:paraId="5CFE1145" w14:textId="32EEE598" w:rsidR="00FD140A" w:rsidRPr="00BF0F5C" w:rsidRDefault="00FD140A" w:rsidP="00FD140A">
                                  <w:pPr>
                                    <w:jc w:val="center"/>
                                    <w:textAlignment w:val="baseline"/>
                                    <w:rPr>
                                      <w:rFonts w:ascii="Roboto" w:hAnsi="Roboto" w:cstheme="minorBidi"/>
                                      <w:b/>
                                      <w:bCs/>
                                      <w:color w:val="F15C1B"/>
                                      <w:sz w:val="21"/>
                                      <w:szCs w:val="21"/>
                                    </w:rPr>
                                  </w:pPr>
                                  <w:r w:rsidRPr="00BF0F5C">
                                    <w:rPr>
                                      <w:rFonts w:ascii="Roboto" w:hAnsi="Roboto" w:cstheme="minorBidi"/>
                                      <w:b/>
                                      <w:bCs/>
                                      <w:color w:val="F15C1B"/>
                                      <w:sz w:val="21"/>
                                      <w:szCs w:val="21"/>
                                    </w:rPr>
                                    <w:t xml:space="preserve">Statutory </w:t>
                                  </w:r>
                                  <w:r w:rsidR="000866D8" w:rsidRPr="00BF0F5C">
                                    <w:rPr>
                                      <w:rFonts w:ascii="Roboto" w:hAnsi="Roboto" w:cstheme="minorBidi"/>
                                      <w:b/>
                                      <w:bCs/>
                                      <w:color w:val="F15C1B"/>
                                      <w:sz w:val="21"/>
                                      <w:szCs w:val="21"/>
                                    </w:rPr>
                                    <w:t>Coordination</w:t>
                                  </w:r>
                                </w:p>
                              </w:txbxContent>
                            </wps:txbx>
                            <wps:bodyPr rot="0" spcFirstLastPara="0" vertOverflow="overflow" horzOverflow="overflow" vert="horz" wrap="square" lIns="73152" tIns="73152" rIns="73152" bIns="7315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9C7AD" id="_x0000_s1048" style="position:absolute;margin-left:-4.9pt;margin-top:57.1pt;width:90pt;height:45pt;z-index:251833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" fillcolor="window" strokecolor="#f15c1b">
                      <v:textbox inset="5.76pt,5.76pt,5.76pt,5.76pt">
                        <w:txbxContent>
                          <w:p w14:paraId="5CFE1145" w14:textId="32EEE598" w:rsidR="00FD140A" w:rsidRPr="00BF0F5C" w:rsidRDefault="00FD140A" w:rsidP="00FD140A">
                            <w:pPr>
                              <w:jc w:val="center"/>
                              <w:textAlignment w:val="baseline"/>
                              <w:rPr>
                                <w:rFonts w:ascii="Roboto" w:hAnsi="Roboto" w:cstheme="minorBidi"/>
                                <w:b/>
                                <w:bCs/>
                                <w:color w:val="F15C1B"/>
                                <w:sz w:val="21"/>
                                <w:szCs w:val="21"/>
                              </w:rPr>
                            </w:pPr>
                            <w:r w:rsidRPr="00BF0F5C">
                              <w:rPr>
                                <w:rFonts w:ascii="Roboto" w:hAnsi="Roboto" w:cstheme="minorBidi"/>
                                <w:b/>
                                <w:bCs/>
                                <w:color w:val="F15C1B"/>
                                <w:sz w:val="21"/>
                                <w:szCs w:val="21"/>
                              </w:rPr>
                              <w:t xml:space="preserve">Statutory </w:t>
                            </w:r>
                            <w:r w:rsidR="000866D8" w:rsidRPr="00BF0F5C">
                              <w:rPr>
                                <w:rFonts w:ascii="Roboto" w:hAnsi="Roboto" w:cstheme="minorBidi"/>
                                <w:b/>
                                <w:bCs/>
                                <w:color w:val="F15C1B"/>
                                <w:sz w:val="21"/>
                                <w:szCs w:val="21"/>
                              </w:rPr>
                              <w:t>Coordination</w:t>
                            </w:r>
                          </w:p>
                        </w:txbxContent>
                      </v:textbox>
                    </v:rect>
                  </w:pict>
                </mc:Fallback>
              </mc:AlternateContent>
            </w:r>
          </w:p>
        </w:tc>
      </w:tr>
    </w:tbl>
    <w:p w14:paraId="6B3C9A8B" w14:textId="77777777" w:rsidR="0091144F" w:rsidRDefault="0091144F">
      <w:pPr>
        <w:rPr>
          <w:rFonts w:ascii="Roboto" w:hAnsi="Roboto" w:cs="Calibri"/>
          <w:color w:val="404040" w:themeColor="text1" w:themeTint="BF"/>
          <w:sz w:val="21"/>
          <w:szCs w:val="21"/>
          <w:lang w:val="en-GB"/>
        </w:rPr>
      </w:pPr>
    </w:p>
    <w:p w14:paraId="4DF7C366" w14:textId="77777777" w:rsidR="0091144F" w:rsidRDefault="0091144F">
      <w:pPr>
        <w:rPr>
          <w:rFonts w:ascii="Roboto" w:hAnsi="Roboto" w:cs="Calibri"/>
          <w:color w:val="404040" w:themeColor="text1" w:themeTint="BF"/>
          <w:sz w:val="21"/>
          <w:szCs w:val="21"/>
          <w:lang w:val="en-GB"/>
        </w:rPr>
      </w:pPr>
    </w:p>
    <w:p w14:paraId="442B92BF" w14:textId="77777777" w:rsidR="0091144F" w:rsidRDefault="0091144F">
      <w:pPr>
        <w:rPr>
          <w:rFonts w:ascii="Roboto" w:hAnsi="Roboto" w:cs="Calibri"/>
          <w:color w:val="404040" w:themeColor="text1" w:themeTint="BF"/>
          <w:sz w:val="21"/>
          <w:szCs w:val="21"/>
          <w:lang w:val="en-GB"/>
        </w:rPr>
      </w:pPr>
    </w:p>
    <w:p w14:paraId="4104EF44" w14:textId="77777777" w:rsidR="0091144F" w:rsidRDefault="0091144F">
      <w:pPr>
        <w:rPr>
          <w:rFonts w:ascii="Roboto" w:hAnsi="Roboto" w:cs="Calibri"/>
          <w:color w:val="404040" w:themeColor="text1" w:themeTint="BF"/>
          <w:sz w:val="21"/>
          <w:szCs w:val="21"/>
          <w:lang w:val="en-GB"/>
        </w:rPr>
      </w:pPr>
    </w:p>
    <w:p w14:paraId="61F57C28" w14:textId="77777777" w:rsidR="0091144F" w:rsidRDefault="0091144F">
      <w:pPr>
        <w:rPr>
          <w:rFonts w:ascii="Roboto" w:hAnsi="Roboto" w:cs="Calibri"/>
          <w:color w:val="404040" w:themeColor="text1" w:themeTint="BF"/>
          <w:sz w:val="21"/>
          <w:szCs w:val="21"/>
          <w:lang w:val="en-GB"/>
        </w:rPr>
      </w:pPr>
    </w:p>
    <w:p w14:paraId="687314FD" w14:textId="77777777" w:rsidR="0091144F" w:rsidRDefault="0091144F">
      <w:pPr>
        <w:rPr>
          <w:rFonts w:ascii="Roboto" w:hAnsi="Roboto" w:cs="Calibri"/>
          <w:color w:val="404040" w:themeColor="text1" w:themeTint="BF"/>
          <w:sz w:val="21"/>
          <w:szCs w:val="21"/>
          <w:lang w:val="en-GB"/>
        </w:rPr>
      </w:pPr>
    </w:p>
    <w:p w14:paraId="6F98DE23" w14:textId="77777777" w:rsidR="0091144F" w:rsidRDefault="0091144F">
      <w:pPr>
        <w:rPr>
          <w:rFonts w:ascii="Roboto" w:hAnsi="Roboto" w:cs="Calibri"/>
          <w:color w:val="404040" w:themeColor="text1" w:themeTint="BF"/>
          <w:sz w:val="21"/>
          <w:szCs w:val="21"/>
          <w:lang w:val="en-GB"/>
        </w:rPr>
      </w:pPr>
    </w:p>
    <w:p w14:paraId="3EBDCD7C" w14:textId="77777777" w:rsidR="0091144F" w:rsidRDefault="0091144F">
      <w:pPr>
        <w:rPr>
          <w:rFonts w:ascii="Roboto" w:hAnsi="Roboto" w:cs="Calibri"/>
          <w:color w:val="404040" w:themeColor="text1" w:themeTint="BF"/>
          <w:sz w:val="21"/>
          <w:szCs w:val="21"/>
          <w:lang w:val="en-GB"/>
        </w:rPr>
      </w:pPr>
    </w:p>
    <w:p w14:paraId="78498A3E" w14:textId="77777777" w:rsidR="0091144F" w:rsidRDefault="0091144F">
      <w:pPr>
        <w:rPr>
          <w:rFonts w:ascii="Roboto" w:hAnsi="Roboto" w:cs="Calibri"/>
          <w:color w:val="404040" w:themeColor="text1" w:themeTint="BF"/>
          <w:sz w:val="21"/>
          <w:szCs w:val="21"/>
          <w:lang w:val="en-GB"/>
        </w:rPr>
      </w:pPr>
    </w:p>
    <w:p w14:paraId="60768518" w14:textId="2336034E" w:rsidR="00701DC6" w:rsidRDefault="0091144F">
      <w:pPr>
        <w:rPr>
          <w:rFonts w:ascii="Roboto" w:hAnsi="Roboto" w:cs="Calibri"/>
          <w:color w:val="404040" w:themeColor="text1" w:themeTint="BF"/>
          <w:sz w:val="21"/>
          <w:szCs w:val="21"/>
          <w:lang w:val="en-GB"/>
        </w:rPr>
      </w:pPr>
      <w:r>
        <w:rPr>
          <w:rFonts w:ascii="Roboto" w:hAnsi="Roboto" w:cs="Calibri"/>
          <w:color w:val="404040" w:themeColor="text1" w:themeTint="BF"/>
          <w:sz w:val="21"/>
          <w:szCs w:val="21"/>
          <w:lang w:val="en-GB"/>
        </w:rPr>
        <w:t xml:space="preserve">The UNCT Coordination Framework will evolve over the timeframe of the UNSDCF in support of accelerating progress on sustainable development.  </w:t>
      </w:r>
      <w:r w:rsidR="00701DC6">
        <w:rPr>
          <w:rFonts w:ascii="Roboto" w:hAnsi="Roboto" w:cs="Calibri"/>
          <w:color w:val="404040" w:themeColor="text1" w:themeTint="BF"/>
          <w:sz w:val="21"/>
          <w:szCs w:val="21"/>
          <w:lang w:val="en-GB"/>
        </w:rPr>
        <w:br w:type="page"/>
      </w:r>
    </w:p>
    <w:p w14:paraId="39C31EA3" w14:textId="77777777" w:rsidR="00EB2ED3" w:rsidRDefault="00EB2ED3">
      <w:pPr>
        <w:rPr>
          <w:rFonts w:ascii="Roboto" w:hAnsi="Roboto" w:cs="Calibri"/>
          <w:color w:val="404040" w:themeColor="text1" w:themeTint="BF"/>
          <w:sz w:val="21"/>
          <w:szCs w:val="21"/>
          <w:lang w:val="en-GB"/>
        </w:rPr>
      </w:pPr>
    </w:p>
    <w:p w14:paraId="5C43B438" w14:textId="77777777" w:rsidR="00EB2ED3" w:rsidRPr="00EB2ED3" w:rsidRDefault="00EB2ED3" w:rsidP="00EB2ED3">
      <w:pPr>
        <w:rPr>
          <w:rFonts w:ascii="Roboto" w:hAnsi="Roboto" w:cs="Calibri"/>
          <w:color w:val="404040" w:themeColor="text1" w:themeTint="BF"/>
          <w:sz w:val="21"/>
          <w:szCs w:val="21"/>
          <w:lang w:val="en-GB"/>
        </w:rPr>
        <w:sectPr w:rsidR="00EB2ED3" w:rsidRPr="00EB2ED3" w:rsidSect="003E0DFD">
          <w:pgSz w:w="11909" w:h="16834" w:code="9"/>
          <w:pgMar w:top="1440" w:right="1440" w:bottom="1440" w:left="1440" w:header="720" w:footer="720" w:gutter="0"/>
          <w:cols w:space="720"/>
          <w:docGrid w:linePitch="360"/>
        </w:sectPr>
      </w:pPr>
    </w:p>
    <w:p w14:paraId="4672C5E9" w14:textId="699FA81B" w:rsidR="008D79DF" w:rsidRPr="003C206F" w:rsidRDefault="009D02C5" w:rsidP="00EB2ED3">
      <w:pPr>
        <w:rPr>
          <w:rFonts w:ascii="Roboto" w:hAnsi="Roboto"/>
          <w:b/>
          <w:bCs/>
          <w:color w:val="404040" w:themeColor="text1" w:themeTint="BF"/>
          <w:lang w:val="en-GB"/>
        </w:rPr>
      </w:pPr>
      <w:r>
        <w:rPr>
          <w:noProof/>
        </w:rPr>
        <w:lastRenderedPageBreak/>
        <w:drawing>
          <wp:anchor distT="0" distB="0" distL="114300" distR="114300" simplePos="0" relativeHeight="251756622" behindDoc="1" locked="0" layoutInCell="1" allowOverlap="1" wp14:anchorId="0AA44682" wp14:editId="28A3EAC1">
            <wp:simplePos x="0" y="0"/>
            <wp:positionH relativeFrom="page">
              <wp:align>right</wp:align>
            </wp:positionH>
            <wp:positionV relativeFrom="paragraph">
              <wp:posOffset>-914400</wp:posOffset>
            </wp:positionV>
            <wp:extent cx="7577590" cy="10680297"/>
            <wp:effectExtent l="0" t="0" r="4445" b="698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77590" cy="1068029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D79DF" w:rsidRPr="003C206F" w:rsidSect="008E5385">
      <w:pgSz w:w="11909" w:h="16834" w:code="9"/>
      <w:pgMar w:top="1440" w:right="1440" w:bottom="1440" w:left="1440" w:header="720" w:footer="720" w:gutter="0"/>
      <w:pgNumType w:start="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DB21" w14:textId="77777777" w:rsidR="00EB4A55" w:rsidRDefault="00EB4A55" w:rsidP="00EF30E3">
      <w:r>
        <w:separator/>
      </w:r>
    </w:p>
  </w:endnote>
  <w:endnote w:type="continuationSeparator" w:id="0">
    <w:p w14:paraId="66F00764" w14:textId="77777777" w:rsidR="00EB4A55" w:rsidRDefault="00EB4A55" w:rsidP="00EF30E3">
      <w:r>
        <w:continuationSeparator/>
      </w:r>
    </w:p>
  </w:endnote>
  <w:endnote w:type="continuationNotice" w:id="1">
    <w:p w14:paraId="5BD5C3C4" w14:textId="77777777" w:rsidR="00EB4A55" w:rsidRDefault="00EB4A55"/>
  </w:endnote>
  <w:endnote w:id="2">
    <w:p w14:paraId="261F7085" w14:textId="77777777" w:rsidR="006D21D2" w:rsidRPr="00CF7262" w:rsidRDefault="006D21D2" w:rsidP="006D21D2">
      <w:pPr>
        <w:pBdr>
          <w:top w:val="nil"/>
          <w:left w:val="nil"/>
          <w:bottom w:val="nil"/>
          <w:right w:val="nil"/>
          <w:between w:val="nil"/>
        </w:pBdr>
        <w:jc w:val="both"/>
        <w:rPr>
          <w:rFonts w:ascii="Roboto" w:hAnsi="Roboto"/>
          <w:color w:val="404040" w:themeColor="text1" w:themeTint="BF"/>
          <w:sz w:val="17"/>
          <w:szCs w:val="17"/>
        </w:rPr>
      </w:pPr>
      <w:r w:rsidRPr="00CF7262">
        <w:rPr>
          <w:rFonts w:ascii="Roboto" w:hAnsi="Roboto"/>
          <w:color w:val="404040" w:themeColor="text1" w:themeTint="BF"/>
          <w:sz w:val="17"/>
          <w:szCs w:val="17"/>
          <w:vertAlign w:val="superscript"/>
        </w:rPr>
        <w:endnoteRef/>
      </w:r>
      <w:r w:rsidRPr="00CF7262">
        <w:rPr>
          <w:rFonts w:ascii="Roboto" w:hAnsi="Roboto"/>
          <w:color w:val="404040" w:themeColor="text1" w:themeTint="BF"/>
          <w:sz w:val="17"/>
          <w:szCs w:val="17"/>
        </w:rPr>
        <w:t xml:space="preserve"> The IOM is counted as both physically present in country in support of Yemen and operating through its regional office for the KSA. The United Nations Department for Safety and Security (UNDSS) is also an observing member of the UNCT in the KSA; however, the UNDSS does not have any programs in the country and is therefore not counted here among the 23 AFPs. </w:t>
      </w:r>
    </w:p>
  </w:endnote>
  <w:endnote w:id="3">
    <w:p w14:paraId="1F2C5B63" w14:textId="77777777" w:rsidR="006D21D2" w:rsidRPr="00CF7262" w:rsidRDefault="006D21D2" w:rsidP="006D21D2">
      <w:pPr>
        <w:jc w:val="both"/>
        <w:rPr>
          <w:rFonts w:ascii="Roboto" w:hAnsi="Roboto"/>
          <w:color w:val="404040" w:themeColor="text1" w:themeTint="BF"/>
          <w:sz w:val="17"/>
          <w:szCs w:val="17"/>
        </w:rPr>
      </w:pPr>
      <w:r w:rsidRPr="00CF7262">
        <w:rPr>
          <w:rFonts w:ascii="Roboto" w:hAnsi="Roboto"/>
          <w:color w:val="404040" w:themeColor="text1" w:themeTint="BF"/>
          <w:sz w:val="17"/>
          <w:szCs w:val="17"/>
          <w:vertAlign w:val="superscript"/>
        </w:rPr>
        <w:endnoteRef/>
      </w:r>
      <w:r w:rsidRPr="00CF7262">
        <w:rPr>
          <w:rFonts w:ascii="Roboto" w:hAnsi="Roboto"/>
          <w:color w:val="404040" w:themeColor="text1" w:themeTint="BF"/>
          <w:sz w:val="17"/>
          <w:szCs w:val="17"/>
        </w:rPr>
        <w:t xml:space="preserve"> UNCTAD is the only AFP operating through a headquarters without a regional office for the MENA region. </w:t>
      </w:r>
    </w:p>
  </w:endnote>
  <w:endnote w:id="4">
    <w:p w14:paraId="7844D3B8" w14:textId="77777777" w:rsidR="004322A6" w:rsidRPr="00CF7262" w:rsidRDefault="004322A6" w:rsidP="004322A6">
      <w:pPr>
        <w:jc w:val="both"/>
        <w:rPr>
          <w:rFonts w:ascii="Roboto" w:hAnsi="Roboto"/>
          <w:color w:val="404040" w:themeColor="text1" w:themeTint="BF"/>
          <w:sz w:val="17"/>
          <w:szCs w:val="17"/>
        </w:rPr>
      </w:pPr>
      <w:r w:rsidRPr="00CF7262">
        <w:rPr>
          <w:rFonts w:ascii="Roboto" w:hAnsi="Roboto"/>
          <w:color w:val="404040" w:themeColor="text1" w:themeTint="BF"/>
          <w:sz w:val="17"/>
          <w:szCs w:val="17"/>
          <w:vertAlign w:val="superscript"/>
        </w:rPr>
        <w:endnoteRef/>
      </w:r>
      <w:r w:rsidRPr="00CF7262">
        <w:rPr>
          <w:rFonts w:ascii="Roboto" w:hAnsi="Roboto"/>
          <w:color w:val="404040" w:themeColor="text1" w:themeTint="BF"/>
          <w:sz w:val="17"/>
          <w:szCs w:val="17"/>
        </w:rPr>
        <w:t xml:space="preserve"> </w:t>
      </w:r>
      <w:hyperlink r:id="rId1">
        <w:r w:rsidRPr="00CF7262">
          <w:rPr>
            <w:rFonts w:ascii="Roboto" w:eastAsia="Cambria" w:hAnsi="Roboto" w:cs="Cambria"/>
            <w:color w:val="404040" w:themeColor="text1" w:themeTint="BF"/>
            <w:sz w:val="17"/>
            <w:szCs w:val="17"/>
          </w:rPr>
          <w:t>https://www.un.org/sustainabledevelopment/sustainable-development-goals/</w:t>
        </w:r>
      </w:hyperlink>
      <w:r w:rsidRPr="00CF7262">
        <w:rPr>
          <w:rFonts w:ascii="Roboto" w:hAnsi="Roboto"/>
          <w:color w:val="404040" w:themeColor="text1" w:themeTint="BF"/>
          <w:sz w:val="17"/>
          <w:szCs w:val="17"/>
        </w:rPr>
        <w:t xml:space="preserve"> </w:t>
      </w:r>
    </w:p>
  </w:endnote>
  <w:endnote w:id="5">
    <w:p w14:paraId="037B3C99" w14:textId="77777777" w:rsidR="004322A6" w:rsidRPr="00CF7262" w:rsidRDefault="004322A6" w:rsidP="004322A6">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https://www.stats.gov.sa/sites/default/files/LM%20tables_Q2_2021_EN_0.xlsx</w:t>
      </w:r>
    </w:p>
  </w:endnote>
  <w:endnote w:id="6">
    <w:p w14:paraId="29D06BB6" w14:textId="77777777" w:rsidR="004322A6" w:rsidRPr="00CF7262" w:rsidRDefault="004322A6" w:rsidP="004322A6">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https://english.alarabiya.net/News/gulf/2020/11/06/Saudi-Arabia-announces-conditions-for-new-labor-reforms-set-to-improve-kafala-system-</w:t>
      </w:r>
    </w:p>
  </w:endnote>
  <w:endnote w:id="7">
    <w:p w14:paraId="683B7DE1" w14:textId="77777777" w:rsidR="00C74675" w:rsidRPr="00CF7262" w:rsidRDefault="00C74675" w:rsidP="00C17E8E">
      <w:pPr>
        <w:pBdr>
          <w:top w:val="nil"/>
          <w:left w:val="nil"/>
          <w:bottom w:val="nil"/>
          <w:right w:val="nil"/>
          <w:between w:val="nil"/>
        </w:pBdr>
        <w:rPr>
          <w:rFonts w:ascii="Roboto" w:eastAsia="Cambria" w:hAnsi="Roboto" w:cs="Cambria"/>
          <w:color w:val="404040" w:themeColor="text1" w:themeTint="BF"/>
          <w:sz w:val="17"/>
          <w:szCs w:val="17"/>
        </w:rPr>
      </w:pPr>
      <w:r w:rsidRPr="00CF7262">
        <w:rPr>
          <w:rFonts w:ascii="Roboto" w:hAnsi="Roboto"/>
          <w:color w:val="404040" w:themeColor="text1" w:themeTint="BF"/>
          <w:sz w:val="17"/>
          <w:szCs w:val="17"/>
          <w:vertAlign w:val="superscript"/>
        </w:rPr>
        <w:endnoteRef/>
      </w:r>
      <w:r w:rsidRPr="00CF7262">
        <w:rPr>
          <w:rFonts w:ascii="Roboto" w:eastAsia="Cambria" w:hAnsi="Roboto" w:cs="Cambria"/>
          <w:color w:val="404040" w:themeColor="text1" w:themeTint="BF"/>
          <w:sz w:val="17"/>
          <w:szCs w:val="17"/>
        </w:rPr>
        <w:t xml:space="preserve"> https://dashboards.sdgindex.org/static/profiles/pdfs/SDR-2021-saudi-arabia.pdf</w:t>
      </w:r>
    </w:p>
  </w:endnote>
  <w:endnote w:id="8">
    <w:p w14:paraId="6981158D" w14:textId="77777777" w:rsidR="006A30C4" w:rsidRPr="00CF7262" w:rsidRDefault="006A30C4" w:rsidP="006A30C4">
      <w:pPr>
        <w:jc w:val="both"/>
        <w:rPr>
          <w:rFonts w:ascii="Roboto" w:eastAsia="Arial" w:hAnsi="Roboto" w:cs="Arial"/>
          <w:color w:val="404040" w:themeColor="text1" w:themeTint="BF"/>
          <w:sz w:val="17"/>
          <w:szCs w:val="17"/>
        </w:rPr>
      </w:pPr>
      <w:r w:rsidRPr="00CF7262">
        <w:rPr>
          <w:rFonts w:ascii="Roboto" w:hAnsi="Roboto"/>
          <w:color w:val="404040" w:themeColor="text1" w:themeTint="BF"/>
          <w:sz w:val="17"/>
          <w:szCs w:val="17"/>
          <w:vertAlign w:val="superscript"/>
        </w:rPr>
        <w:endnoteRef/>
      </w:r>
      <w:r w:rsidRPr="00CF7262">
        <w:rPr>
          <w:rFonts w:ascii="Roboto" w:eastAsia="Arial" w:hAnsi="Roboto" w:cs="Arial"/>
          <w:color w:val="404040" w:themeColor="text1" w:themeTint="BF"/>
          <w:sz w:val="17"/>
          <w:szCs w:val="17"/>
        </w:rPr>
        <w:t xml:space="preserve"> </w:t>
      </w:r>
      <w:r w:rsidRPr="00CF7262">
        <w:rPr>
          <w:rFonts w:ascii="Roboto" w:eastAsia="Cambria" w:hAnsi="Roboto" w:cs="Cambria"/>
          <w:color w:val="404040" w:themeColor="text1" w:themeTint="BF"/>
          <w:sz w:val="17"/>
          <w:szCs w:val="17"/>
        </w:rPr>
        <w:t>https://sdgindex.org/reports/sustainable-development-report-2021/</w:t>
      </w:r>
    </w:p>
  </w:endnote>
  <w:endnote w:id="9">
    <w:p w14:paraId="19D52EC0" w14:textId="77777777" w:rsidR="009433D1" w:rsidRPr="00CF7262" w:rsidRDefault="009433D1" w:rsidP="009433D1">
      <w:pPr>
        <w:pStyle w:val="EndnoteText"/>
        <w:jc w:val="both"/>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w:t>
      </w:r>
      <w:r w:rsidRPr="00CF7262">
        <w:rPr>
          <w:rFonts w:ascii="Roboto" w:eastAsia="Cambria" w:hAnsi="Roboto" w:cs="Cambria"/>
          <w:color w:val="404040" w:themeColor="text1" w:themeTint="BF"/>
          <w:sz w:val="17"/>
          <w:szCs w:val="17"/>
        </w:rPr>
        <w:t>https://sdgindex.org/reports/sustainable-development-report-2021/</w:t>
      </w:r>
    </w:p>
  </w:endnote>
  <w:endnote w:id="10">
    <w:p w14:paraId="226F3539" w14:textId="77777777" w:rsidR="009433D1" w:rsidRPr="00CF7262" w:rsidRDefault="009433D1" w:rsidP="009433D1">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https://saudiarabia.un.org/en/123902-quantitative-analysis-human-rights-and-vulnerable-groups-saudi-arabia</w:t>
      </w:r>
    </w:p>
  </w:endnote>
  <w:endnote w:id="11">
    <w:p w14:paraId="1F598B66" w14:textId="77777777" w:rsidR="009433D1" w:rsidRPr="00CF7262" w:rsidRDefault="009433D1" w:rsidP="009433D1">
      <w:pPr>
        <w:pStyle w:val="EndnoteText"/>
        <w:jc w:val="both"/>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https://saudiarabia.un.org/en/123904-macroeconomic-sdg-forecasts-ksa</w:t>
      </w:r>
    </w:p>
  </w:endnote>
  <w:endnote w:id="12">
    <w:p w14:paraId="49458AAA" w14:textId="77777777" w:rsidR="009433D1" w:rsidRPr="00CF7262" w:rsidRDefault="009433D1" w:rsidP="009433D1">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https://saudiarabia.un.org/en/123904-macroeconomic-sdg-forecasts-ksa</w:t>
      </w:r>
    </w:p>
  </w:endnote>
  <w:endnote w:id="13">
    <w:p w14:paraId="0BE587F5" w14:textId="77777777" w:rsidR="009433D1" w:rsidRPr="00CF7262" w:rsidRDefault="009433D1" w:rsidP="009433D1">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https://saudiarabia.un.org/en/123902-quantitative-analysis-human-rights-and-vulnerable-groups-saudi-arabia</w:t>
      </w:r>
    </w:p>
  </w:endnote>
  <w:endnote w:id="14">
    <w:p w14:paraId="02BF1397" w14:textId="77777777" w:rsidR="00082BE4" w:rsidRPr="00CF7262" w:rsidRDefault="00082BE4" w:rsidP="00082BE4">
      <w:pPr>
        <w:pStyle w:val="EndnoteText"/>
        <w:rPr>
          <w:rFonts w:ascii="Roboto" w:hAnsi="Roboto"/>
        </w:rPr>
      </w:pPr>
      <w:r w:rsidRPr="00CF7262">
        <w:rPr>
          <w:rStyle w:val="EndnoteReference"/>
          <w:rFonts w:ascii="Roboto" w:eastAsiaTheme="majorEastAsia" w:hAnsi="Roboto"/>
        </w:rPr>
        <w:endnoteRef/>
      </w:r>
      <w:r w:rsidRPr="00CF7262">
        <w:rPr>
          <w:rFonts w:ascii="Roboto" w:hAnsi="Roboto"/>
        </w:rPr>
        <w:t xml:space="preserve"> </w:t>
      </w:r>
      <w:r w:rsidRPr="00CF7262">
        <w:rPr>
          <w:rFonts w:ascii="Roboto" w:hAnsi="Roboto"/>
          <w:color w:val="404040" w:themeColor="text1" w:themeTint="BF"/>
          <w:sz w:val="17"/>
          <w:szCs w:val="17"/>
        </w:rPr>
        <w:t>https://www.stats.gov.sa/sites/default/files/lm_2021_q2_tables_EN%20%28%20admin%20records%20%29V6.xlsx</w:t>
      </w:r>
    </w:p>
  </w:endnote>
  <w:endnote w:id="15">
    <w:p w14:paraId="775F3855" w14:textId="77777777" w:rsidR="00082BE4" w:rsidRPr="00CF7262" w:rsidRDefault="00082BE4" w:rsidP="00082BE4">
      <w:pPr>
        <w:pStyle w:val="EndnoteText"/>
        <w:rPr>
          <w:rFonts w:ascii="Roboto" w:hAnsi="Roboto"/>
        </w:rPr>
      </w:pPr>
      <w:r w:rsidRPr="00CF7262">
        <w:rPr>
          <w:rStyle w:val="EndnoteReference"/>
          <w:rFonts w:ascii="Roboto" w:eastAsiaTheme="majorEastAsia" w:hAnsi="Roboto"/>
        </w:rPr>
        <w:endnoteRef/>
      </w:r>
      <w:r w:rsidRPr="00CF7262">
        <w:rPr>
          <w:rFonts w:ascii="Roboto" w:hAnsi="Roboto"/>
        </w:rPr>
        <w:t xml:space="preserve"> </w:t>
      </w:r>
      <w:r w:rsidRPr="00CF7262">
        <w:rPr>
          <w:rFonts w:ascii="Roboto" w:hAnsi="Roboto"/>
          <w:color w:val="404040" w:themeColor="text1" w:themeTint="BF"/>
          <w:sz w:val="17"/>
          <w:szCs w:val="17"/>
        </w:rPr>
        <w:t>https://hrsd.gov.sa/en/news/ministry-human-resources-and-social-development-launches-labor-reforms-private-sector-workers</w:t>
      </w:r>
    </w:p>
  </w:endnote>
  <w:endnote w:id="16">
    <w:p w14:paraId="1B0102BB" w14:textId="77777777" w:rsidR="00082BE4" w:rsidRPr="00CF7262" w:rsidRDefault="00082BE4" w:rsidP="00082BE4">
      <w:pPr>
        <w:rPr>
          <w:rFonts w:ascii="Roboto" w:hAnsi="Roboto"/>
          <w:color w:val="404040" w:themeColor="text1" w:themeTint="BF"/>
          <w:sz w:val="17"/>
          <w:szCs w:val="17"/>
        </w:rPr>
      </w:pPr>
      <w:r w:rsidRPr="00CF7262">
        <w:rPr>
          <w:rStyle w:val="EndnoteReference"/>
          <w:rFonts w:ascii="Roboto" w:eastAsiaTheme="majorEastAsia" w:hAnsi="Roboto"/>
          <w:color w:val="404040" w:themeColor="text1" w:themeTint="BF"/>
          <w:sz w:val="17"/>
          <w:szCs w:val="17"/>
        </w:rPr>
        <w:endnoteRef/>
      </w:r>
      <w:r w:rsidRPr="00CF7262">
        <w:rPr>
          <w:rFonts w:ascii="Roboto" w:hAnsi="Roboto"/>
          <w:color w:val="404040" w:themeColor="text1" w:themeTint="BF"/>
          <w:sz w:val="17"/>
          <w:szCs w:val="17"/>
        </w:rPr>
        <w:t xml:space="preserve"> sdgdata.humanrights.dk</w:t>
      </w:r>
    </w:p>
  </w:endnote>
  <w:endnote w:id="17">
    <w:p w14:paraId="10D26F11" w14:textId="77777777" w:rsidR="00082BE4" w:rsidRPr="00CF7262" w:rsidRDefault="00082BE4" w:rsidP="00082BE4">
      <w:pPr>
        <w:pStyle w:val="EndnoteText"/>
        <w:rPr>
          <w:rFonts w:ascii="Roboto" w:hAnsi="Roboto"/>
          <w:color w:val="404040" w:themeColor="text1" w:themeTint="BF"/>
          <w:sz w:val="17"/>
          <w:szCs w:val="17"/>
        </w:rPr>
      </w:pPr>
      <w:r w:rsidRPr="00CF7262">
        <w:rPr>
          <w:rStyle w:val="EndnoteReference"/>
          <w:rFonts w:ascii="Roboto" w:eastAsiaTheme="majorEastAsia" w:hAnsi="Roboto"/>
          <w:color w:val="404040" w:themeColor="text1" w:themeTint="BF"/>
          <w:sz w:val="17"/>
          <w:szCs w:val="17"/>
        </w:rPr>
        <w:endnoteRef/>
      </w:r>
      <w:r w:rsidRPr="00CF7262">
        <w:rPr>
          <w:rFonts w:ascii="Roboto" w:hAnsi="Roboto"/>
          <w:color w:val="404040" w:themeColor="text1" w:themeTint="BF"/>
          <w:sz w:val="17"/>
          <w:szCs w:val="17"/>
        </w:rPr>
        <w:t xml:space="preserve"> https://saudiarabia.un.org/en/123902-quantitative-analysis-human-rights-and-vulnerable-groups-saudi-arabia</w:t>
      </w:r>
    </w:p>
  </w:endnote>
  <w:endnote w:id="18">
    <w:p w14:paraId="73FB9C50" w14:textId="77777777" w:rsidR="00082BE4" w:rsidRPr="00CF7262" w:rsidRDefault="00082BE4" w:rsidP="00082BE4">
      <w:pPr>
        <w:pStyle w:val="EndnoteText"/>
        <w:rPr>
          <w:rFonts w:ascii="Roboto" w:hAnsi="Roboto"/>
          <w:color w:val="404040" w:themeColor="text1" w:themeTint="BF"/>
          <w:sz w:val="17"/>
          <w:szCs w:val="17"/>
        </w:rPr>
      </w:pPr>
      <w:r w:rsidRPr="00CF7262">
        <w:rPr>
          <w:rStyle w:val="EndnoteReference"/>
          <w:rFonts w:ascii="Roboto" w:eastAsiaTheme="majorEastAsia" w:hAnsi="Roboto"/>
          <w:color w:val="404040" w:themeColor="text1" w:themeTint="BF"/>
          <w:sz w:val="17"/>
          <w:szCs w:val="17"/>
        </w:rPr>
        <w:endnoteRef/>
      </w:r>
      <w:r w:rsidRPr="00CF7262">
        <w:rPr>
          <w:rFonts w:ascii="Roboto" w:hAnsi="Roboto"/>
          <w:color w:val="404040" w:themeColor="text1" w:themeTint="BF"/>
          <w:sz w:val="17"/>
          <w:szCs w:val="17"/>
        </w:rPr>
        <w:t xml:space="preserve"> </w:t>
      </w:r>
      <w:r w:rsidRPr="00CF7262">
        <w:rPr>
          <w:rFonts w:ascii="Roboto" w:hAnsi="Roboto" w:cs="Calibri"/>
          <w:color w:val="404040" w:themeColor="text1" w:themeTint="BF"/>
          <w:sz w:val="17"/>
          <w:szCs w:val="17"/>
          <w:lang w:val="en-GB"/>
        </w:rPr>
        <w:t xml:space="preserve">This data relates to the 870 human rights observations and recommendations that the KSA has received during the years 2008, 2009, 2013, 2016, 2018, </w:t>
      </w:r>
      <w:r>
        <w:rPr>
          <w:rFonts w:ascii="Roboto" w:hAnsi="Roboto" w:cs="Calibri"/>
          <w:color w:val="404040" w:themeColor="text1" w:themeTint="BF"/>
          <w:sz w:val="17"/>
          <w:szCs w:val="17"/>
          <w:lang w:val="en-GB"/>
        </w:rPr>
        <w:t xml:space="preserve">and </w:t>
      </w:r>
      <w:r w:rsidRPr="00CF7262">
        <w:rPr>
          <w:rFonts w:ascii="Roboto" w:hAnsi="Roboto" w:cs="Calibri"/>
          <w:color w:val="404040" w:themeColor="text1" w:themeTint="BF"/>
          <w:sz w:val="17"/>
          <w:szCs w:val="17"/>
          <w:lang w:val="en-GB"/>
        </w:rPr>
        <w:t>2019, 460 of which have direct links to the SDGs.</w:t>
      </w:r>
    </w:p>
  </w:endnote>
  <w:endnote w:id="19">
    <w:p w14:paraId="16A8B1A9" w14:textId="77777777" w:rsidR="00082BE4" w:rsidRPr="00CF7262" w:rsidRDefault="00082BE4" w:rsidP="00082BE4">
      <w:pPr>
        <w:pStyle w:val="EndnoteText"/>
        <w:rPr>
          <w:rFonts w:ascii="Roboto" w:hAnsi="Roboto"/>
        </w:rPr>
      </w:pPr>
      <w:r w:rsidRPr="00CF7262">
        <w:rPr>
          <w:rStyle w:val="EndnoteReference"/>
          <w:rFonts w:ascii="Roboto" w:eastAsiaTheme="majorEastAsia" w:hAnsi="Roboto"/>
          <w:color w:val="404040" w:themeColor="text1" w:themeTint="BF"/>
          <w:sz w:val="17"/>
          <w:szCs w:val="17"/>
        </w:rPr>
        <w:endnoteRef/>
      </w:r>
      <w:r w:rsidRPr="00CF7262">
        <w:rPr>
          <w:rFonts w:ascii="Roboto" w:hAnsi="Roboto"/>
        </w:rPr>
        <w:t xml:space="preserve"> </w:t>
      </w:r>
      <w:r w:rsidRPr="00CF7262">
        <w:rPr>
          <w:rFonts w:ascii="Roboto" w:hAnsi="Roboto"/>
          <w:color w:val="404040" w:themeColor="text1" w:themeTint="BF"/>
          <w:sz w:val="17"/>
          <w:szCs w:val="17"/>
        </w:rPr>
        <w:t>https://saudiarabia.un.org/en/146145-role-awqaf-achieving-sdgs-and-vision-2030-ksa</w:t>
      </w:r>
    </w:p>
  </w:endnote>
  <w:endnote w:id="20">
    <w:p w14:paraId="60B458F7" w14:textId="77777777" w:rsidR="00082BE4" w:rsidRPr="00CF7262" w:rsidRDefault="00082BE4" w:rsidP="00082BE4">
      <w:pPr>
        <w:rPr>
          <w:rFonts w:ascii="Roboto" w:hAnsi="Roboto"/>
          <w:color w:val="404040" w:themeColor="text1" w:themeTint="BF"/>
          <w:sz w:val="17"/>
          <w:szCs w:val="17"/>
        </w:rPr>
      </w:pPr>
      <w:r w:rsidRPr="00CF7262">
        <w:rPr>
          <w:rStyle w:val="EndnoteReference"/>
          <w:rFonts w:ascii="Roboto" w:eastAsiaTheme="majorEastAsia" w:hAnsi="Roboto"/>
          <w:color w:val="404040" w:themeColor="text1" w:themeTint="BF"/>
          <w:sz w:val="17"/>
          <w:szCs w:val="17"/>
        </w:rPr>
        <w:endnoteRef/>
      </w:r>
      <w:r w:rsidRPr="00CF7262">
        <w:rPr>
          <w:rFonts w:ascii="Roboto" w:hAnsi="Roboto"/>
          <w:color w:val="404040" w:themeColor="text1" w:themeTint="BF"/>
          <w:sz w:val="17"/>
          <w:szCs w:val="17"/>
        </w:rPr>
        <w:t xml:space="preserve"> sdgdata.humanrights.dk</w:t>
      </w:r>
    </w:p>
  </w:endnote>
  <w:endnote w:id="21">
    <w:p w14:paraId="01C5DAE5" w14:textId="77777777" w:rsidR="00082BE4" w:rsidRPr="00170B16" w:rsidRDefault="00082BE4" w:rsidP="00082BE4">
      <w:pPr>
        <w:pStyle w:val="EndnoteText"/>
        <w:rPr>
          <w:rFonts w:ascii="Roboto" w:hAnsi="Roboto" w:cs="Calibri"/>
          <w:color w:val="404040" w:themeColor="text1" w:themeTint="BF"/>
          <w:sz w:val="17"/>
          <w:szCs w:val="17"/>
          <w:lang w:val="en-GB"/>
        </w:rPr>
      </w:pPr>
      <w:r>
        <w:rPr>
          <w:rStyle w:val="EndnoteReference"/>
          <w:rFonts w:eastAsiaTheme="majorEastAsia"/>
        </w:rPr>
        <w:endnoteRef/>
      </w:r>
      <w:r>
        <w:t xml:space="preserve"> </w:t>
      </w:r>
      <w:r w:rsidRPr="00170B16">
        <w:rPr>
          <w:rFonts w:ascii="Roboto" w:hAnsi="Roboto" w:cs="Calibri"/>
          <w:color w:val="404040" w:themeColor="text1" w:themeTint="BF"/>
          <w:sz w:val="17"/>
          <w:szCs w:val="17"/>
          <w:lang w:val="en-GB"/>
        </w:rPr>
        <w:t>https://saudiarabia.un.org/en/123902-quantitative-analysis-human-rights-and-vulnerable-groups-saudi-arabia</w:t>
      </w:r>
    </w:p>
  </w:endnote>
  <w:endnote w:id="22">
    <w:p w14:paraId="1E6B2A88" w14:textId="77777777" w:rsidR="00082BE4" w:rsidRPr="00CF7262" w:rsidRDefault="00082BE4" w:rsidP="00082BE4">
      <w:pPr>
        <w:pStyle w:val="EndnoteText"/>
        <w:rPr>
          <w:rFonts w:ascii="Roboto" w:hAnsi="Roboto"/>
          <w:color w:val="404040" w:themeColor="text1" w:themeTint="BF"/>
          <w:sz w:val="17"/>
          <w:szCs w:val="17"/>
        </w:rPr>
      </w:pPr>
      <w:r w:rsidRPr="00CF7262">
        <w:rPr>
          <w:rStyle w:val="EndnoteReference"/>
          <w:rFonts w:ascii="Roboto" w:eastAsiaTheme="majorEastAsia" w:hAnsi="Roboto"/>
          <w:color w:val="404040" w:themeColor="text1" w:themeTint="BF"/>
          <w:sz w:val="17"/>
          <w:szCs w:val="17"/>
        </w:rPr>
        <w:endnoteRef/>
      </w:r>
      <w:r w:rsidRPr="00CF7262">
        <w:rPr>
          <w:rFonts w:ascii="Roboto" w:hAnsi="Roboto"/>
          <w:color w:val="404040" w:themeColor="text1" w:themeTint="BF"/>
          <w:sz w:val="17"/>
          <w:szCs w:val="17"/>
        </w:rPr>
        <w:t xml:space="preserve"> </w:t>
      </w:r>
      <w:r w:rsidRPr="00CF7262">
        <w:rPr>
          <w:rFonts w:ascii="Roboto" w:hAnsi="Roboto" w:cs="Calibri"/>
          <w:color w:val="404040" w:themeColor="text1" w:themeTint="BF"/>
          <w:sz w:val="17"/>
          <w:szCs w:val="17"/>
          <w:lang w:val="en-GB"/>
        </w:rPr>
        <w:t>This data relates to the 870 human rights observations and recommendations that the KSA has received during the years 2008, 2009, 2013, 2016, 2018,</w:t>
      </w:r>
      <w:r>
        <w:rPr>
          <w:rFonts w:ascii="Roboto" w:hAnsi="Roboto" w:cs="Calibri"/>
          <w:color w:val="404040" w:themeColor="text1" w:themeTint="BF"/>
          <w:sz w:val="17"/>
          <w:szCs w:val="17"/>
          <w:lang w:val="en-GB"/>
        </w:rPr>
        <w:t xml:space="preserve"> and</w:t>
      </w:r>
      <w:r w:rsidRPr="00CF7262">
        <w:rPr>
          <w:rFonts w:ascii="Roboto" w:hAnsi="Roboto" w:cs="Calibri"/>
          <w:color w:val="404040" w:themeColor="text1" w:themeTint="BF"/>
          <w:sz w:val="17"/>
          <w:szCs w:val="17"/>
          <w:lang w:val="en-GB"/>
        </w:rPr>
        <w:t xml:space="preserve"> 2019, 460 of which have direct links to the SDGs.</w:t>
      </w:r>
    </w:p>
  </w:endnote>
  <w:endnote w:id="23">
    <w:p w14:paraId="11EB41F5" w14:textId="77777777" w:rsidR="00352DB2" w:rsidRPr="00CF7262" w:rsidRDefault="00352DB2" w:rsidP="00352DB2">
      <w:pPr>
        <w:pStyle w:val="EndnoteText"/>
        <w:rPr>
          <w:rFonts w:ascii="Roboto" w:hAnsi="Roboto"/>
        </w:rPr>
      </w:pPr>
      <w:r w:rsidRPr="00CF7262">
        <w:rPr>
          <w:rStyle w:val="EndnoteReference"/>
          <w:rFonts w:ascii="Roboto" w:hAnsi="Roboto"/>
        </w:rPr>
        <w:endnoteRef/>
      </w:r>
      <w:r w:rsidRPr="00CF7262">
        <w:rPr>
          <w:rFonts w:ascii="Roboto" w:hAnsi="Roboto"/>
        </w:rPr>
        <w:t xml:space="preserve"> </w:t>
      </w:r>
      <w:r w:rsidRPr="00CF7262">
        <w:rPr>
          <w:rFonts w:ascii="Roboto" w:hAnsi="Roboto" w:cs="Calibri"/>
          <w:color w:val="404040" w:themeColor="text1" w:themeTint="BF"/>
          <w:sz w:val="17"/>
          <w:szCs w:val="17"/>
          <w:lang w:val="en-GB"/>
        </w:rPr>
        <w:t>https://unstats.un.org/sdgs/iaeg-sdgs/tier-classification/</w:t>
      </w:r>
    </w:p>
  </w:endnote>
  <w:endnote w:id="24">
    <w:p w14:paraId="53CE97A8" w14:textId="77777777" w:rsidR="00757F1D" w:rsidRPr="00CF7262" w:rsidRDefault="00757F1D" w:rsidP="00757F1D">
      <w:pPr>
        <w:pStyle w:val="EndnoteText"/>
        <w:rPr>
          <w:rFonts w:ascii="Roboto" w:hAnsi="Roboto"/>
        </w:rPr>
      </w:pPr>
      <w:r w:rsidRPr="00CF7262">
        <w:rPr>
          <w:rStyle w:val="EndnoteReference"/>
          <w:rFonts w:ascii="Roboto" w:hAnsi="Roboto"/>
          <w:sz w:val="17"/>
          <w:szCs w:val="17"/>
        </w:rPr>
        <w:endnoteRef/>
      </w:r>
      <w:r w:rsidRPr="00CF7262">
        <w:rPr>
          <w:rFonts w:ascii="Roboto" w:hAnsi="Roboto"/>
        </w:rPr>
        <w:t xml:space="preserve"> </w:t>
      </w:r>
      <w:r w:rsidRPr="00CF7262">
        <w:rPr>
          <w:rFonts w:ascii="Roboto" w:hAnsi="Roboto" w:cs="Calibri"/>
          <w:color w:val="404040" w:themeColor="text1" w:themeTint="BF"/>
          <w:sz w:val="17"/>
          <w:szCs w:val="17"/>
          <w:lang w:val="en-GB"/>
        </w:rPr>
        <w:t>The general clauses from the legal annex apply equally to all UN agencies, funds and programs not having their own legal agreement with the Government, as well as to those where such an agreement is in place.</w:t>
      </w:r>
    </w:p>
  </w:endnote>
  <w:endnote w:id="25">
    <w:p w14:paraId="49C9ECC7" w14:textId="77777777" w:rsidR="005A786E" w:rsidRPr="00CF7262" w:rsidRDefault="005A786E" w:rsidP="005A786E">
      <w:pPr>
        <w:pStyle w:val="EndnoteText"/>
        <w:rPr>
          <w:rFonts w:ascii="Roboto" w:hAnsi="Roboto"/>
          <w:sz w:val="17"/>
          <w:szCs w:val="17"/>
        </w:rPr>
      </w:pPr>
      <w:r w:rsidRPr="00CF7262">
        <w:rPr>
          <w:rStyle w:val="EndnoteReference"/>
          <w:rFonts w:ascii="Roboto" w:hAnsi="Roboto"/>
          <w:sz w:val="17"/>
          <w:szCs w:val="17"/>
        </w:rPr>
        <w:endnoteRef/>
      </w:r>
      <w:r w:rsidRPr="00CF7262">
        <w:rPr>
          <w:rFonts w:ascii="Roboto" w:hAnsi="Roboto"/>
          <w:sz w:val="17"/>
          <w:szCs w:val="17"/>
        </w:rPr>
        <w:t xml:space="preserve"> </w:t>
      </w:r>
      <w:r w:rsidRPr="00CF7262">
        <w:rPr>
          <w:rFonts w:ascii="Roboto" w:hAnsi="Roboto" w:cs="Calibri"/>
          <w:color w:val="404040" w:themeColor="text1" w:themeTint="BF"/>
          <w:sz w:val="17"/>
          <w:szCs w:val="17"/>
          <w:lang w:val="en-GB"/>
        </w:rPr>
        <w:t>Significantly, three activities and $19,210,626 in estimated costs are excluded from Tables 2.1–2.4 below because they did not have a primary link to an SDG.</w:t>
      </w:r>
    </w:p>
  </w:endnote>
  <w:endnote w:id="26">
    <w:p w14:paraId="0A4D4371" w14:textId="1773BA90" w:rsidR="001A7FFD" w:rsidRDefault="001A7FFD" w:rsidP="001A7FFD">
      <w:pPr>
        <w:pStyle w:val="EndnoteText"/>
        <w:rPr>
          <w:rFonts w:ascii="Roboto" w:hAnsi="Roboto"/>
          <w:color w:val="404040" w:themeColor="text1" w:themeTint="BF"/>
          <w:sz w:val="17"/>
          <w:szCs w:val="17"/>
        </w:rPr>
      </w:pPr>
      <w:r w:rsidRPr="00CF7262">
        <w:rPr>
          <w:rStyle w:val="EndnoteReference"/>
          <w:rFonts w:ascii="Roboto" w:hAnsi="Roboto"/>
          <w:color w:val="404040" w:themeColor="text1" w:themeTint="BF"/>
          <w:sz w:val="17"/>
          <w:szCs w:val="17"/>
        </w:rPr>
        <w:endnoteRef/>
      </w:r>
      <w:r w:rsidRPr="00CF7262">
        <w:rPr>
          <w:rFonts w:ascii="Roboto" w:hAnsi="Roboto"/>
          <w:color w:val="404040" w:themeColor="text1" w:themeTint="BF"/>
          <w:sz w:val="17"/>
          <w:szCs w:val="17"/>
        </w:rPr>
        <w:t xml:space="preserve"> While the </w:t>
      </w:r>
      <w:r w:rsidR="00E719CA">
        <w:rPr>
          <w:rFonts w:ascii="Roboto" w:hAnsi="Roboto"/>
          <w:color w:val="404040" w:themeColor="text1" w:themeTint="BF"/>
          <w:sz w:val="17"/>
          <w:szCs w:val="17"/>
        </w:rPr>
        <w:t xml:space="preserve">KSA’s </w:t>
      </w:r>
      <w:r w:rsidRPr="00CF7262">
        <w:rPr>
          <w:rFonts w:ascii="Roboto" w:hAnsi="Roboto"/>
          <w:color w:val="404040" w:themeColor="text1" w:themeTint="BF"/>
          <w:sz w:val="17"/>
          <w:szCs w:val="17"/>
        </w:rPr>
        <w:t>Vision 2030 Pillars can be understood as cross-cutting all Strategic Priority Areas, the connections articulated in this table capture their most salient overlaps.</w:t>
      </w:r>
    </w:p>
    <w:p w14:paraId="5120F57B" w14:textId="77777777" w:rsidR="001A7FFD" w:rsidRPr="00CF7262" w:rsidRDefault="001A7FFD" w:rsidP="001A7FFD">
      <w:pPr>
        <w:pStyle w:val="EndnoteText"/>
        <w:rPr>
          <w:rFonts w:ascii="Roboto" w:hAnsi="Roboto"/>
          <w:color w:val="404040" w:themeColor="text1" w:themeTint="BF"/>
          <w:sz w:val="17"/>
          <w:szCs w:val="17"/>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Black">
    <w:altName w:val="Times New Roman"/>
    <w:charset w:val="00"/>
    <w:family w:val="auto"/>
    <w:pitch w:val="variable"/>
    <w:sig w:usb0="E00002FF" w:usb1="5000205B" w:usb2="00000020" w:usb3="00000000" w:csb0="0000019F" w:csb1="00000000"/>
  </w:font>
  <w:font w:name="AdobeArabic-Regular">
    <w:altName w:val="Calibri"/>
    <w:charset w:val="B4"/>
    <w:family w:val="auto"/>
    <w:pitch w:val="default"/>
    <w:sig w:usb0="00000001" w:usb1="00000000" w:usb2="00000000" w:usb3="00000000" w:csb0="00000040" w:csb1="00000000"/>
  </w:font>
  <w:font w:name="Noto Sans">
    <w:panose1 w:val="020B0502040504020204"/>
    <w:charset w:val="00"/>
    <w:family w:val="swiss"/>
    <w:pitch w:val="variable"/>
    <w:sig w:usb0="E00082FF" w:usb1="400078FF" w:usb2="00000021" w:usb3="00000000" w:csb0="0000019F" w:csb1="00000000"/>
  </w:font>
  <w:font w:name="Yu Mincho">
    <w:charset w:val="80"/>
    <w:family w:val="roman"/>
    <w:pitch w:val="variable"/>
    <w:sig w:usb0="800002E7" w:usb1="2AC7FCFF" w:usb2="00000012" w:usb3="00000000" w:csb0="0002009F" w:csb1="00000000"/>
  </w:font>
  <w:font w:name="Roboto Condensed">
    <w:panose1 w:val="02000000000000000000"/>
    <w:charset w:val="00"/>
    <w:family w:val="auto"/>
    <w:pitch w:val="variable"/>
    <w:sig w:usb0="E00002FF" w:usb1="5000205B" w:usb2="00000020" w:usb3="00000000" w:csb0="0000019F" w:csb1="00000000"/>
  </w:font>
  <w:font w:name="Helvetica-Light">
    <w:altName w:val="Arial"/>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9852452"/>
      <w:docPartObj>
        <w:docPartGallery w:val="Page Numbers (Bottom of Page)"/>
        <w:docPartUnique/>
      </w:docPartObj>
    </w:sdtPr>
    <w:sdtEndPr>
      <w:rPr>
        <w:rStyle w:val="PageNumber"/>
      </w:rPr>
    </w:sdtEndPr>
    <w:sdtContent>
      <w:p w14:paraId="6768CBC4" w14:textId="461500B9" w:rsidR="00C74675" w:rsidRDefault="00C74675" w:rsidP="006F4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D6C54" w14:textId="77777777" w:rsidR="00C74675" w:rsidRDefault="00C74675" w:rsidP="00EF30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rPr>
      <w:id w:val="-1719207276"/>
      <w:docPartObj>
        <w:docPartGallery w:val="Page Numbers (Bottom of Page)"/>
        <w:docPartUnique/>
      </w:docPartObj>
    </w:sdtPr>
    <w:sdtEndPr>
      <w:rPr>
        <w:rStyle w:val="PageNumber"/>
      </w:rPr>
    </w:sdtEndPr>
    <w:sdtContent>
      <w:p w14:paraId="16FD30AD" w14:textId="4D9905AA" w:rsidR="00C74675" w:rsidRPr="006F4106" w:rsidRDefault="00C74675" w:rsidP="00C74675">
        <w:pPr>
          <w:pStyle w:val="Footer"/>
          <w:framePr w:wrap="none" w:vAnchor="text" w:hAnchor="margin" w:xAlign="right" w:y="1"/>
          <w:rPr>
            <w:rStyle w:val="PageNumber"/>
            <w:rFonts w:ascii="Roboto" w:hAnsi="Roboto"/>
          </w:rPr>
        </w:pPr>
        <w:r w:rsidRPr="006F4106">
          <w:rPr>
            <w:rStyle w:val="PageNumber"/>
            <w:rFonts w:ascii="Roboto" w:hAnsi="Roboto"/>
          </w:rPr>
          <w:fldChar w:fldCharType="begin"/>
        </w:r>
        <w:r w:rsidRPr="006F4106">
          <w:rPr>
            <w:rStyle w:val="PageNumber"/>
            <w:rFonts w:ascii="Roboto" w:hAnsi="Roboto"/>
          </w:rPr>
          <w:instrText xml:space="preserve"> PAGE </w:instrText>
        </w:r>
        <w:r w:rsidRPr="006F4106">
          <w:rPr>
            <w:rStyle w:val="PageNumber"/>
            <w:rFonts w:ascii="Roboto" w:hAnsi="Roboto"/>
          </w:rPr>
          <w:fldChar w:fldCharType="separate"/>
        </w:r>
        <w:r w:rsidRPr="006F4106">
          <w:rPr>
            <w:rStyle w:val="PageNumber"/>
            <w:rFonts w:ascii="Roboto" w:hAnsi="Roboto"/>
            <w:noProof/>
          </w:rPr>
          <w:t>11</w:t>
        </w:r>
        <w:r w:rsidRPr="006F4106">
          <w:rPr>
            <w:rStyle w:val="PageNumber"/>
            <w:rFonts w:ascii="Roboto" w:hAnsi="Roboto"/>
          </w:rPr>
          <w:fldChar w:fldCharType="end"/>
        </w:r>
      </w:p>
    </w:sdtContent>
  </w:sdt>
  <w:p w14:paraId="2317470A" w14:textId="55525EFD" w:rsidR="00C74675" w:rsidRPr="00915269" w:rsidRDefault="00C74675" w:rsidP="00EF30E3">
    <w:pPr>
      <w:pStyle w:val="Footer"/>
      <w:ind w:right="360"/>
      <w:rPr>
        <w:rFonts w:ascii="Roboto" w:hAnsi="Robo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Roboto" w:hAnsi="Roboto"/>
      </w:rPr>
      <w:id w:val="-834137858"/>
      <w:docPartObj>
        <w:docPartGallery w:val="Page Numbers (Bottom of Page)"/>
        <w:docPartUnique/>
      </w:docPartObj>
    </w:sdtPr>
    <w:sdtEndPr>
      <w:rPr>
        <w:rStyle w:val="PageNumber"/>
      </w:rPr>
    </w:sdtEndPr>
    <w:sdtContent>
      <w:p w14:paraId="5E92BD3A" w14:textId="7CD3F418" w:rsidR="00C74675" w:rsidRPr="008E7BAF" w:rsidRDefault="00C74675" w:rsidP="00C20754">
        <w:pPr>
          <w:pStyle w:val="Footer"/>
          <w:framePr w:wrap="none" w:vAnchor="text" w:hAnchor="margin" w:xAlign="right" w:y="1"/>
          <w:rPr>
            <w:rStyle w:val="PageNumber"/>
            <w:rFonts w:ascii="Roboto" w:hAnsi="Roboto"/>
          </w:rPr>
        </w:pPr>
        <w:r w:rsidRPr="008E7BAF">
          <w:rPr>
            <w:rStyle w:val="PageNumber"/>
            <w:rFonts w:ascii="Roboto" w:hAnsi="Roboto"/>
          </w:rPr>
          <w:fldChar w:fldCharType="begin"/>
        </w:r>
        <w:r w:rsidRPr="00D7586F">
          <w:rPr>
            <w:rStyle w:val="PageNumber"/>
            <w:rFonts w:ascii="Roboto" w:hAnsi="Roboto"/>
          </w:rPr>
          <w:instrText xml:space="preserve"> PAGE </w:instrText>
        </w:r>
        <w:r w:rsidRPr="008E7BAF">
          <w:rPr>
            <w:rStyle w:val="PageNumber"/>
            <w:rFonts w:ascii="Roboto" w:hAnsi="Roboto"/>
          </w:rPr>
          <w:fldChar w:fldCharType="separate"/>
        </w:r>
        <w:r w:rsidRPr="00D7586F">
          <w:rPr>
            <w:rStyle w:val="PageNumber"/>
            <w:rFonts w:ascii="Roboto" w:hAnsi="Roboto"/>
            <w:noProof/>
          </w:rPr>
          <w:t>13</w:t>
        </w:r>
        <w:r w:rsidRPr="008E7BAF">
          <w:rPr>
            <w:rStyle w:val="PageNumber"/>
            <w:rFonts w:ascii="Roboto" w:hAnsi="Roboto"/>
          </w:rPr>
          <w:fldChar w:fldCharType="end"/>
        </w:r>
      </w:p>
    </w:sdtContent>
  </w:sdt>
  <w:p w14:paraId="7305C4A8" w14:textId="77777777" w:rsidR="00C74675" w:rsidRPr="008E7BAF" w:rsidRDefault="00C74675" w:rsidP="008E7BAF">
    <w:pPr>
      <w:pStyle w:val="Footer"/>
      <w:ind w:right="360"/>
      <w:rPr>
        <w:rFonts w:ascii="Roboto" w:hAnsi="Robo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F335" w14:textId="77777777" w:rsidR="00EB4A55" w:rsidRDefault="00EB4A55" w:rsidP="00EF30E3">
      <w:r>
        <w:separator/>
      </w:r>
    </w:p>
  </w:footnote>
  <w:footnote w:type="continuationSeparator" w:id="0">
    <w:p w14:paraId="6CA2FFE2" w14:textId="77777777" w:rsidR="00EB4A55" w:rsidRDefault="00EB4A55" w:rsidP="00EF30E3">
      <w:r>
        <w:continuationSeparator/>
      </w:r>
    </w:p>
  </w:footnote>
  <w:footnote w:type="continuationNotice" w:id="1">
    <w:p w14:paraId="4FB88877" w14:textId="77777777" w:rsidR="00EB4A55" w:rsidRDefault="00EB4A55"/>
  </w:footnote>
  <w:footnote w:id="2">
    <w:p w14:paraId="3941403F" w14:textId="77777777" w:rsidR="000F1B6D" w:rsidRPr="00D30F5F" w:rsidRDefault="000F1B6D" w:rsidP="000F1B6D">
      <w:pPr>
        <w:pStyle w:val="FootnoteText"/>
        <w:rPr>
          <w:rFonts w:ascii="Roboto" w:hAnsi="Roboto"/>
        </w:rPr>
      </w:pPr>
      <w:r w:rsidRPr="00D30F5F">
        <w:rPr>
          <w:rStyle w:val="FootnoteReference"/>
          <w:rFonts w:ascii="Roboto" w:hAnsi="Roboto"/>
          <w:color w:val="404040" w:themeColor="text1" w:themeTint="BF"/>
        </w:rPr>
        <w:footnoteRef/>
      </w:r>
      <w:r w:rsidRPr="00D30F5F">
        <w:rPr>
          <w:rFonts w:ascii="Roboto" w:hAnsi="Roboto"/>
          <w:color w:val="404040" w:themeColor="text1" w:themeTint="BF"/>
        </w:rPr>
        <w:t xml:space="preserve"> </w:t>
      </w:r>
      <w:bookmarkStart w:id="40" w:name="_Hlk91588460"/>
      <w:r w:rsidRPr="00D30F5F">
        <w:rPr>
          <w:rFonts w:ascii="Roboto" w:hAnsi="Roboto"/>
          <w:color w:val="404040" w:themeColor="text1" w:themeTint="BF"/>
        </w:rPr>
        <w:t xml:space="preserve">The indicator, seats held by women in national parliament, is slightly adapted for the context of the KSA. For example, the GASTAT reports on the proportion of seats held by women in the Shura Council, </w:t>
      </w:r>
      <w:r>
        <w:rPr>
          <w:rFonts w:ascii="Roboto" w:hAnsi="Roboto"/>
          <w:color w:val="404040" w:themeColor="text1" w:themeTint="BF"/>
        </w:rPr>
        <w:t>20</w:t>
      </w:r>
      <w:r w:rsidRPr="00D30F5F">
        <w:rPr>
          <w:rFonts w:ascii="Roboto" w:hAnsi="Roboto"/>
          <w:color w:val="404040" w:themeColor="text1" w:themeTint="BF"/>
        </w:rPr>
        <w:t xml:space="preserve">% as of 2019, and the proportion of seats held by women in Municipal Councils, </w:t>
      </w:r>
      <w:r>
        <w:rPr>
          <w:rFonts w:ascii="Roboto" w:hAnsi="Roboto"/>
          <w:color w:val="404040" w:themeColor="text1" w:themeTint="BF"/>
        </w:rPr>
        <w:t>1.2</w:t>
      </w:r>
      <w:r w:rsidRPr="00D30F5F">
        <w:rPr>
          <w:rFonts w:ascii="Roboto" w:hAnsi="Roboto"/>
          <w:color w:val="404040" w:themeColor="text1" w:themeTint="BF"/>
        </w:rPr>
        <w:t>%</w:t>
      </w:r>
      <w:r>
        <w:rPr>
          <w:rFonts w:ascii="Roboto" w:hAnsi="Roboto"/>
          <w:color w:val="404040" w:themeColor="text1" w:themeTint="BF"/>
        </w:rPr>
        <w:t xml:space="preserve"> as of 2019</w:t>
      </w:r>
      <w:r w:rsidRPr="00D30F5F">
        <w:rPr>
          <w:rFonts w:ascii="Roboto" w:hAnsi="Roboto"/>
          <w:color w:val="404040" w:themeColor="text1" w:themeTint="BF"/>
        </w:rPr>
        <w:t>.  (</w:t>
      </w:r>
      <w:hyperlink r:id="rId1" w:history="1">
        <w:r w:rsidRPr="00D30F5F">
          <w:rPr>
            <w:rStyle w:val="Hyperlink"/>
            <w:rFonts w:ascii="Roboto" w:hAnsi="Roboto"/>
            <w:color w:val="404040" w:themeColor="text1" w:themeTint="BF"/>
          </w:rPr>
          <w:t>https://www.stats.gov.sa/sites/default/files/SDG%20report%202020EN.xlsx</w:t>
        </w:r>
      </w:hyperlink>
      <w:r w:rsidRPr="00D30F5F">
        <w:rPr>
          <w:rFonts w:ascii="Roboto" w:hAnsi="Roboto"/>
          <w:color w:val="404040" w:themeColor="text1" w:themeTint="BF"/>
        </w:rPr>
        <w:t xml:space="preserve">). </w:t>
      </w:r>
      <w:bookmarkEnd w:id="4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2737" w14:textId="77777777" w:rsidR="00C74675" w:rsidRDefault="00C74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2BB1" w14:textId="1DB414DA" w:rsidR="00C74675" w:rsidRDefault="00C74675">
    <w:pPr>
      <w:pStyle w:val="Header"/>
    </w:pPr>
    <w:r>
      <w:rPr>
        <w:noProof/>
      </w:rPr>
      <w:drawing>
        <wp:anchor distT="0" distB="0" distL="114300" distR="114300" simplePos="0" relativeHeight="251659266" behindDoc="1" locked="0" layoutInCell="1" allowOverlap="1" wp14:anchorId="2090C37E" wp14:editId="358C307D">
          <wp:simplePos x="0" y="0"/>
          <wp:positionH relativeFrom="margin">
            <wp:align>center</wp:align>
          </wp:positionH>
          <wp:positionV relativeFrom="paragraph">
            <wp:posOffset>-450211</wp:posOffset>
          </wp:positionV>
          <wp:extent cx="7601579" cy="10716768"/>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
                    <a:extLst>
                      <a:ext uri="{28A0092B-C50C-407E-A947-70E740481C1C}">
                        <a14:useLocalDpi xmlns:a14="http://schemas.microsoft.com/office/drawing/2010/main" val="0"/>
                      </a:ext>
                    </a:extLst>
                  </a:blip>
                  <a:stretch>
                    <a:fillRect/>
                  </a:stretch>
                </pic:blipFill>
                <pic:spPr>
                  <a:xfrm>
                    <a:off x="0" y="0"/>
                    <a:ext cx="7600648" cy="107154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C825" w14:textId="383FDBDF" w:rsidR="00C74675" w:rsidRDefault="00C74675">
    <w:pPr>
      <w:pStyle w:val="Header"/>
    </w:pPr>
    <w:r>
      <w:rPr>
        <w:noProof/>
      </w:rPr>
      <w:drawing>
        <wp:anchor distT="0" distB="0" distL="114300" distR="114300" simplePos="0" relativeHeight="251658242" behindDoc="1" locked="0" layoutInCell="1" allowOverlap="1" wp14:anchorId="04E2D979" wp14:editId="33727E69">
          <wp:simplePos x="0" y="0"/>
          <wp:positionH relativeFrom="page">
            <wp:align>left</wp:align>
          </wp:positionH>
          <wp:positionV relativeFrom="paragraph">
            <wp:posOffset>-457200</wp:posOffset>
          </wp:positionV>
          <wp:extent cx="7606665" cy="9956800"/>
          <wp:effectExtent l="0" t="0" r="0" b="6350"/>
          <wp:wrapNone/>
          <wp:docPr id="88" name="Picture 8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665" cy="995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376D"/>
    <w:multiLevelType w:val="hybridMultilevel"/>
    <w:tmpl w:val="FBF4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4600F"/>
    <w:multiLevelType w:val="multilevel"/>
    <w:tmpl w:val="BE14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27674"/>
    <w:multiLevelType w:val="multilevel"/>
    <w:tmpl w:val="4212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358B"/>
    <w:multiLevelType w:val="hybridMultilevel"/>
    <w:tmpl w:val="B442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B4691"/>
    <w:multiLevelType w:val="multilevel"/>
    <w:tmpl w:val="BE6CC5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344058"/>
    <w:multiLevelType w:val="hybridMultilevel"/>
    <w:tmpl w:val="18D8921E"/>
    <w:lvl w:ilvl="0" w:tplc="FDD6C898">
      <w:start w:val="7"/>
      <w:numFmt w:val="bullet"/>
      <w:lvlText w:val="-"/>
      <w:lvlJc w:val="left"/>
      <w:pPr>
        <w:ind w:left="720" w:hanging="360"/>
      </w:pPr>
      <w:rPr>
        <w:rFonts w:ascii="Roboto" w:eastAsia="Times New Roman" w:hAnsi="Roboto"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B5D8F"/>
    <w:multiLevelType w:val="hybridMultilevel"/>
    <w:tmpl w:val="B77A5B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1321FC"/>
    <w:multiLevelType w:val="multilevel"/>
    <w:tmpl w:val="D496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8452F"/>
    <w:multiLevelType w:val="hybridMultilevel"/>
    <w:tmpl w:val="4C3AA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83B5F"/>
    <w:multiLevelType w:val="hybridMultilevel"/>
    <w:tmpl w:val="C8BA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51F5D"/>
    <w:multiLevelType w:val="hybridMultilevel"/>
    <w:tmpl w:val="DC32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50207"/>
    <w:multiLevelType w:val="hybridMultilevel"/>
    <w:tmpl w:val="DAAA3B56"/>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9E90D45"/>
    <w:multiLevelType w:val="multilevel"/>
    <w:tmpl w:val="9A84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84FBF"/>
    <w:multiLevelType w:val="multilevel"/>
    <w:tmpl w:val="11BC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64953"/>
    <w:multiLevelType w:val="multilevel"/>
    <w:tmpl w:val="6DD0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0292B"/>
    <w:multiLevelType w:val="hybridMultilevel"/>
    <w:tmpl w:val="FD44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94943"/>
    <w:multiLevelType w:val="hybridMultilevel"/>
    <w:tmpl w:val="82BE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D400D"/>
    <w:multiLevelType w:val="hybridMultilevel"/>
    <w:tmpl w:val="F9247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7D6365"/>
    <w:multiLevelType w:val="hybridMultilevel"/>
    <w:tmpl w:val="C46AD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213308"/>
    <w:multiLevelType w:val="hybridMultilevel"/>
    <w:tmpl w:val="FED60F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5311A"/>
    <w:multiLevelType w:val="multilevel"/>
    <w:tmpl w:val="F1DC1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A620E0"/>
    <w:multiLevelType w:val="multilevel"/>
    <w:tmpl w:val="E272B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2B479AB"/>
    <w:multiLevelType w:val="multilevel"/>
    <w:tmpl w:val="E8464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716A3A"/>
    <w:multiLevelType w:val="multilevel"/>
    <w:tmpl w:val="0D90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A154E"/>
    <w:multiLevelType w:val="hybridMultilevel"/>
    <w:tmpl w:val="4FFE4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CF5683E"/>
    <w:multiLevelType w:val="multilevel"/>
    <w:tmpl w:val="DE04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D718FE"/>
    <w:multiLevelType w:val="multilevel"/>
    <w:tmpl w:val="0E18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E938B8"/>
    <w:multiLevelType w:val="hybridMultilevel"/>
    <w:tmpl w:val="26C0FFCE"/>
    <w:lvl w:ilvl="0" w:tplc="688E6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7F2F26"/>
    <w:multiLevelType w:val="hybridMultilevel"/>
    <w:tmpl w:val="7730FAAC"/>
    <w:lvl w:ilvl="0" w:tplc="E9DE705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554548"/>
    <w:multiLevelType w:val="hybridMultilevel"/>
    <w:tmpl w:val="459833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4A5F1A"/>
    <w:multiLevelType w:val="multilevel"/>
    <w:tmpl w:val="76B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204F64"/>
    <w:multiLevelType w:val="multilevel"/>
    <w:tmpl w:val="ED94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36A15"/>
    <w:multiLevelType w:val="multilevel"/>
    <w:tmpl w:val="F16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254717"/>
    <w:multiLevelType w:val="hybridMultilevel"/>
    <w:tmpl w:val="EC82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B46C7"/>
    <w:multiLevelType w:val="hybridMultilevel"/>
    <w:tmpl w:val="04823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E79C4"/>
    <w:multiLevelType w:val="hybridMultilevel"/>
    <w:tmpl w:val="699AB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7401EFA"/>
    <w:multiLevelType w:val="multilevel"/>
    <w:tmpl w:val="4BBAB1B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3561E6"/>
    <w:multiLevelType w:val="hybridMultilevel"/>
    <w:tmpl w:val="FA2E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72824"/>
    <w:multiLevelType w:val="hybridMultilevel"/>
    <w:tmpl w:val="036A74F2"/>
    <w:lvl w:ilvl="0" w:tplc="A56A7EDA">
      <w:start w:val="7"/>
      <w:numFmt w:val="bullet"/>
      <w:lvlText w:val="-"/>
      <w:lvlJc w:val="left"/>
      <w:pPr>
        <w:ind w:left="720" w:hanging="360"/>
      </w:pPr>
      <w:rPr>
        <w:rFonts w:ascii="Roboto" w:eastAsia="Times New Roman" w:hAnsi="Roboto"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C153AC"/>
    <w:multiLevelType w:val="hybridMultilevel"/>
    <w:tmpl w:val="36BAFFA8"/>
    <w:lvl w:ilvl="0" w:tplc="C512CC34">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F6C3428"/>
    <w:multiLevelType w:val="hybridMultilevel"/>
    <w:tmpl w:val="1F0A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13B7A"/>
    <w:multiLevelType w:val="multilevel"/>
    <w:tmpl w:val="EBB4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1"/>
  </w:num>
  <w:num w:numId="3">
    <w:abstractNumId w:val="1"/>
  </w:num>
  <w:num w:numId="4">
    <w:abstractNumId w:val="7"/>
  </w:num>
  <w:num w:numId="5">
    <w:abstractNumId w:val="32"/>
  </w:num>
  <w:num w:numId="6">
    <w:abstractNumId w:val="26"/>
  </w:num>
  <w:num w:numId="7">
    <w:abstractNumId w:val="12"/>
  </w:num>
  <w:num w:numId="8">
    <w:abstractNumId w:val="30"/>
  </w:num>
  <w:num w:numId="9">
    <w:abstractNumId w:val="31"/>
  </w:num>
  <w:num w:numId="10">
    <w:abstractNumId w:val="23"/>
  </w:num>
  <w:num w:numId="11">
    <w:abstractNumId w:val="41"/>
  </w:num>
  <w:num w:numId="12">
    <w:abstractNumId w:val="2"/>
  </w:num>
  <w:num w:numId="13">
    <w:abstractNumId w:val="14"/>
  </w:num>
  <w:num w:numId="14">
    <w:abstractNumId w:val="13"/>
  </w:num>
  <w:num w:numId="15">
    <w:abstractNumId w:val="20"/>
  </w:num>
  <w:num w:numId="16">
    <w:abstractNumId w:val="20"/>
  </w:num>
  <w:num w:numId="17">
    <w:abstractNumId w:val="36"/>
  </w:num>
  <w:num w:numId="18">
    <w:abstractNumId w:val="25"/>
  </w:num>
  <w:num w:numId="19">
    <w:abstractNumId w:val="20"/>
  </w:num>
  <w:num w:numId="20">
    <w:abstractNumId w:val="6"/>
  </w:num>
  <w:num w:numId="21">
    <w:abstractNumId w:val="38"/>
  </w:num>
  <w:num w:numId="22">
    <w:abstractNumId w:val="5"/>
  </w:num>
  <w:num w:numId="23">
    <w:abstractNumId w:val="34"/>
  </w:num>
  <w:num w:numId="24">
    <w:abstractNumId w:val="18"/>
  </w:num>
  <w:num w:numId="25">
    <w:abstractNumId w:val="10"/>
  </w:num>
  <w:num w:numId="26">
    <w:abstractNumId w:val="19"/>
  </w:num>
  <w:num w:numId="27">
    <w:abstractNumId w:val="29"/>
  </w:num>
  <w:num w:numId="28">
    <w:abstractNumId w:val="20"/>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3"/>
  </w:num>
  <w:num w:numId="32">
    <w:abstractNumId w:val="9"/>
  </w:num>
  <w:num w:numId="33">
    <w:abstractNumId w:val="17"/>
  </w:num>
  <w:num w:numId="34">
    <w:abstractNumId w:val="15"/>
  </w:num>
  <w:num w:numId="35">
    <w:abstractNumId w:val="40"/>
  </w:num>
  <w:num w:numId="36">
    <w:abstractNumId w:val="0"/>
  </w:num>
  <w:num w:numId="37">
    <w:abstractNumId w:val="37"/>
  </w:num>
  <w:num w:numId="38">
    <w:abstractNumId w:val="24"/>
  </w:num>
  <w:num w:numId="39">
    <w:abstractNumId w:val="35"/>
  </w:num>
  <w:num w:numId="40">
    <w:abstractNumId w:val="11"/>
  </w:num>
  <w:num w:numId="41">
    <w:abstractNumId w:val="16"/>
  </w:num>
  <w:num w:numId="42">
    <w:abstractNumId w:val="8"/>
  </w:num>
  <w:num w:numId="43">
    <w:abstractNumId w:val="39"/>
  </w:num>
  <w:num w:numId="44">
    <w:abstractNumId w:val="27"/>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0mm7Lg4qjRtmtvBOxIdALL1nGavy/4ktyCAeqWS6YJNM8QFiBaAQyq7h7UlFKKTJtNcNNv6aQHyWf6kUkFQQUg==" w:salt="ZjRL6jdNB0YdnMiZeXNW5g=="/>
  <w:styleLockTheme/>
  <w:styleLockQFSet/>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SwtLQ0MzQ3NDE2NjFQ0lEKTi0uzszPAykwN6oFANVrbsUtAAAA"/>
  </w:docVars>
  <w:rsids>
    <w:rsidRoot w:val="008D79DF"/>
    <w:rsid w:val="00001294"/>
    <w:rsid w:val="0000145B"/>
    <w:rsid w:val="000020B3"/>
    <w:rsid w:val="000022C4"/>
    <w:rsid w:val="000024A5"/>
    <w:rsid w:val="00002997"/>
    <w:rsid w:val="0000331E"/>
    <w:rsid w:val="0000336A"/>
    <w:rsid w:val="00003BFD"/>
    <w:rsid w:val="000041FB"/>
    <w:rsid w:val="00004338"/>
    <w:rsid w:val="000048E1"/>
    <w:rsid w:val="00004B01"/>
    <w:rsid w:val="00004FD1"/>
    <w:rsid w:val="00005405"/>
    <w:rsid w:val="0000553C"/>
    <w:rsid w:val="0000554B"/>
    <w:rsid w:val="000057F5"/>
    <w:rsid w:val="000062FC"/>
    <w:rsid w:val="000063F4"/>
    <w:rsid w:val="0000673F"/>
    <w:rsid w:val="00006D05"/>
    <w:rsid w:val="00006D9D"/>
    <w:rsid w:val="00007275"/>
    <w:rsid w:val="0000729D"/>
    <w:rsid w:val="00007969"/>
    <w:rsid w:val="00007CBB"/>
    <w:rsid w:val="00010354"/>
    <w:rsid w:val="00010547"/>
    <w:rsid w:val="00011025"/>
    <w:rsid w:val="00011D5B"/>
    <w:rsid w:val="000123A7"/>
    <w:rsid w:val="00012A9B"/>
    <w:rsid w:val="00012B82"/>
    <w:rsid w:val="00012EB2"/>
    <w:rsid w:val="00012F01"/>
    <w:rsid w:val="00012F9C"/>
    <w:rsid w:val="0001315D"/>
    <w:rsid w:val="000133F2"/>
    <w:rsid w:val="00013494"/>
    <w:rsid w:val="00013842"/>
    <w:rsid w:val="00013917"/>
    <w:rsid w:val="0001392A"/>
    <w:rsid w:val="00013FE9"/>
    <w:rsid w:val="00014A6A"/>
    <w:rsid w:val="0001538B"/>
    <w:rsid w:val="000158D9"/>
    <w:rsid w:val="00015A93"/>
    <w:rsid w:val="00015AD3"/>
    <w:rsid w:val="00015BED"/>
    <w:rsid w:val="00015F95"/>
    <w:rsid w:val="00016056"/>
    <w:rsid w:val="000161ED"/>
    <w:rsid w:val="00016467"/>
    <w:rsid w:val="00016585"/>
    <w:rsid w:val="000167A9"/>
    <w:rsid w:val="00017351"/>
    <w:rsid w:val="00017C05"/>
    <w:rsid w:val="00017D8D"/>
    <w:rsid w:val="00017FFB"/>
    <w:rsid w:val="000204C3"/>
    <w:rsid w:val="000208DF"/>
    <w:rsid w:val="00020A54"/>
    <w:rsid w:val="00020EF0"/>
    <w:rsid w:val="00020F46"/>
    <w:rsid w:val="0002145F"/>
    <w:rsid w:val="000221B3"/>
    <w:rsid w:val="00022506"/>
    <w:rsid w:val="00022841"/>
    <w:rsid w:val="00022C93"/>
    <w:rsid w:val="0002329F"/>
    <w:rsid w:val="00023F10"/>
    <w:rsid w:val="000240B4"/>
    <w:rsid w:val="0002418F"/>
    <w:rsid w:val="000254FE"/>
    <w:rsid w:val="000256DD"/>
    <w:rsid w:val="00025799"/>
    <w:rsid w:val="00025A25"/>
    <w:rsid w:val="00025DC1"/>
    <w:rsid w:val="0002610E"/>
    <w:rsid w:val="0002621E"/>
    <w:rsid w:val="00026266"/>
    <w:rsid w:val="000262BB"/>
    <w:rsid w:val="00026655"/>
    <w:rsid w:val="00026713"/>
    <w:rsid w:val="000268C0"/>
    <w:rsid w:val="000269A2"/>
    <w:rsid w:val="00026B83"/>
    <w:rsid w:val="00026C52"/>
    <w:rsid w:val="0002714A"/>
    <w:rsid w:val="00027275"/>
    <w:rsid w:val="00027285"/>
    <w:rsid w:val="0002741C"/>
    <w:rsid w:val="000275BA"/>
    <w:rsid w:val="000277B6"/>
    <w:rsid w:val="0003095A"/>
    <w:rsid w:val="00030B6D"/>
    <w:rsid w:val="00030E6A"/>
    <w:rsid w:val="00031417"/>
    <w:rsid w:val="000314AC"/>
    <w:rsid w:val="00031875"/>
    <w:rsid w:val="00031B87"/>
    <w:rsid w:val="00031D16"/>
    <w:rsid w:val="00032156"/>
    <w:rsid w:val="00032927"/>
    <w:rsid w:val="00032B07"/>
    <w:rsid w:val="00033D85"/>
    <w:rsid w:val="00033DA8"/>
    <w:rsid w:val="0003447E"/>
    <w:rsid w:val="0003448F"/>
    <w:rsid w:val="0003451C"/>
    <w:rsid w:val="00034565"/>
    <w:rsid w:val="000348CA"/>
    <w:rsid w:val="000348CF"/>
    <w:rsid w:val="00034E49"/>
    <w:rsid w:val="0003503B"/>
    <w:rsid w:val="000350EC"/>
    <w:rsid w:val="000358AE"/>
    <w:rsid w:val="00035A3D"/>
    <w:rsid w:val="00035EED"/>
    <w:rsid w:val="00035FF2"/>
    <w:rsid w:val="00036134"/>
    <w:rsid w:val="00036248"/>
    <w:rsid w:val="00036425"/>
    <w:rsid w:val="00036C0E"/>
    <w:rsid w:val="0003714B"/>
    <w:rsid w:val="0003778D"/>
    <w:rsid w:val="000377F5"/>
    <w:rsid w:val="00037EB9"/>
    <w:rsid w:val="00037F93"/>
    <w:rsid w:val="000405E1"/>
    <w:rsid w:val="00040BF7"/>
    <w:rsid w:val="00041035"/>
    <w:rsid w:val="00041363"/>
    <w:rsid w:val="00041A65"/>
    <w:rsid w:val="00041B5B"/>
    <w:rsid w:val="00041FC9"/>
    <w:rsid w:val="00042032"/>
    <w:rsid w:val="0004244C"/>
    <w:rsid w:val="00042515"/>
    <w:rsid w:val="000427AA"/>
    <w:rsid w:val="00043492"/>
    <w:rsid w:val="00043C76"/>
    <w:rsid w:val="0004404C"/>
    <w:rsid w:val="00044719"/>
    <w:rsid w:val="00044B05"/>
    <w:rsid w:val="00044D1E"/>
    <w:rsid w:val="000455F9"/>
    <w:rsid w:val="0004584D"/>
    <w:rsid w:val="00046052"/>
    <w:rsid w:val="00046974"/>
    <w:rsid w:val="00047515"/>
    <w:rsid w:val="00050019"/>
    <w:rsid w:val="00050A15"/>
    <w:rsid w:val="00050E9D"/>
    <w:rsid w:val="00050F4C"/>
    <w:rsid w:val="00051776"/>
    <w:rsid w:val="00052283"/>
    <w:rsid w:val="00052409"/>
    <w:rsid w:val="000527D5"/>
    <w:rsid w:val="00052829"/>
    <w:rsid w:val="0005285F"/>
    <w:rsid w:val="00052A18"/>
    <w:rsid w:val="00052E66"/>
    <w:rsid w:val="00053301"/>
    <w:rsid w:val="00053962"/>
    <w:rsid w:val="00053BEF"/>
    <w:rsid w:val="00053D8A"/>
    <w:rsid w:val="0005413E"/>
    <w:rsid w:val="00054C4A"/>
    <w:rsid w:val="00054FF3"/>
    <w:rsid w:val="00055499"/>
    <w:rsid w:val="0005649A"/>
    <w:rsid w:val="000566E0"/>
    <w:rsid w:val="00056D66"/>
    <w:rsid w:val="00056FEC"/>
    <w:rsid w:val="00057FE7"/>
    <w:rsid w:val="000601C0"/>
    <w:rsid w:val="0006043D"/>
    <w:rsid w:val="000606C9"/>
    <w:rsid w:val="00060967"/>
    <w:rsid w:val="00060B2D"/>
    <w:rsid w:val="00060C2F"/>
    <w:rsid w:val="00060DD4"/>
    <w:rsid w:val="0006100E"/>
    <w:rsid w:val="000616C7"/>
    <w:rsid w:val="00061A53"/>
    <w:rsid w:val="00061B74"/>
    <w:rsid w:val="00061B85"/>
    <w:rsid w:val="00061BBC"/>
    <w:rsid w:val="00061BFF"/>
    <w:rsid w:val="00062147"/>
    <w:rsid w:val="000628F7"/>
    <w:rsid w:val="0006294D"/>
    <w:rsid w:val="00062F93"/>
    <w:rsid w:val="000634B1"/>
    <w:rsid w:val="00063998"/>
    <w:rsid w:val="000639B2"/>
    <w:rsid w:val="00063DA9"/>
    <w:rsid w:val="00063DD5"/>
    <w:rsid w:val="00063E0F"/>
    <w:rsid w:val="00064537"/>
    <w:rsid w:val="0006467A"/>
    <w:rsid w:val="000647C3"/>
    <w:rsid w:val="000654CE"/>
    <w:rsid w:val="00065C49"/>
    <w:rsid w:val="00065F24"/>
    <w:rsid w:val="0006615F"/>
    <w:rsid w:val="00066D21"/>
    <w:rsid w:val="0006729B"/>
    <w:rsid w:val="00067822"/>
    <w:rsid w:val="000706FE"/>
    <w:rsid w:val="000712DB"/>
    <w:rsid w:val="00071752"/>
    <w:rsid w:val="00071771"/>
    <w:rsid w:val="00072587"/>
    <w:rsid w:val="000725FB"/>
    <w:rsid w:val="000727E9"/>
    <w:rsid w:val="00072855"/>
    <w:rsid w:val="00072F7F"/>
    <w:rsid w:val="000732CA"/>
    <w:rsid w:val="000735ED"/>
    <w:rsid w:val="000736D0"/>
    <w:rsid w:val="000736D9"/>
    <w:rsid w:val="00073BC8"/>
    <w:rsid w:val="00073E92"/>
    <w:rsid w:val="0007416A"/>
    <w:rsid w:val="0007459E"/>
    <w:rsid w:val="00074BE1"/>
    <w:rsid w:val="0007516C"/>
    <w:rsid w:val="00075A20"/>
    <w:rsid w:val="00076AE5"/>
    <w:rsid w:val="00076B3D"/>
    <w:rsid w:val="00076BB0"/>
    <w:rsid w:val="00077219"/>
    <w:rsid w:val="00077BB1"/>
    <w:rsid w:val="00077F0F"/>
    <w:rsid w:val="00080004"/>
    <w:rsid w:val="000804DB"/>
    <w:rsid w:val="00080C58"/>
    <w:rsid w:val="00081081"/>
    <w:rsid w:val="000812DB"/>
    <w:rsid w:val="000818C2"/>
    <w:rsid w:val="00081E51"/>
    <w:rsid w:val="00081FF9"/>
    <w:rsid w:val="000821FB"/>
    <w:rsid w:val="00082B21"/>
    <w:rsid w:val="00082BE4"/>
    <w:rsid w:val="0008414C"/>
    <w:rsid w:val="00084EA7"/>
    <w:rsid w:val="00085381"/>
    <w:rsid w:val="00085481"/>
    <w:rsid w:val="000857FF"/>
    <w:rsid w:val="00085995"/>
    <w:rsid w:val="00085A63"/>
    <w:rsid w:val="00086035"/>
    <w:rsid w:val="000860E3"/>
    <w:rsid w:val="000862A2"/>
    <w:rsid w:val="000862DE"/>
    <w:rsid w:val="000866D8"/>
    <w:rsid w:val="000866FA"/>
    <w:rsid w:val="000867C2"/>
    <w:rsid w:val="00086B8F"/>
    <w:rsid w:val="00086F72"/>
    <w:rsid w:val="000874C8"/>
    <w:rsid w:val="00087957"/>
    <w:rsid w:val="00087CF3"/>
    <w:rsid w:val="00090B74"/>
    <w:rsid w:val="00090BEC"/>
    <w:rsid w:val="00090C38"/>
    <w:rsid w:val="00092DEE"/>
    <w:rsid w:val="000933FE"/>
    <w:rsid w:val="00093A98"/>
    <w:rsid w:val="00093AF0"/>
    <w:rsid w:val="00093E48"/>
    <w:rsid w:val="000944AD"/>
    <w:rsid w:val="00094503"/>
    <w:rsid w:val="00094755"/>
    <w:rsid w:val="00094962"/>
    <w:rsid w:val="000951AE"/>
    <w:rsid w:val="000956A1"/>
    <w:rsid w:val="000959F4"/>
    <w:rsid w:val="00095B7E"/>
    <w:rsid w:val="00095DE4"/>
    <w:rsid w:val="00095EEC"/>
    <w:rsid w:val="0009689B"/>
    <w:rsid w:val="00096B3F"/>
    <w:rsid w:val="00096E7B"/>
    <w:rsid w:val="000971B2"/>
    <w:rsid w:val="00097377"/>
    <w:rsid w:val="00097B57"/>
    <w:rsid w:val="00097B64"/>
    <w:rsid w:val="00097DB2"/>
    <w:rsid w:val="00097FD9"/>
    <w:rsid w:val="000A06E8"/>
    <w:rsid w:val="000A0A2D"/>
    <w:rsid w:val="000A0E9F"/>
    <w:rsid w:val="000A0FC8"/>
    <w:rsid w:val="000A10AE"/>
    <w:rsid w:val="000A1242"/>
    <w:rsid w:val="000A1272"/>
    <w:rsid w:val="000A137C"/>
    <w:rsid w:val="000A1E13"/>
    <w:rsid w:val="000A2A04"/>
    <w:rsid w:val="000A2AB5"/>
    <w:rsid w:val="000A2D93"/>
    <w:rsid w:val="000A3072"/>
    <w:rsid w:val="000A38A1"/>
    <w:rsid w:val="000A40F8"/>
    <w:rsid w:val="000A441D"/>
    <w:rsid w:val="000A49BA"/>
    <w:rsid w:val="000A4B39"/>
    <w:rsid w:val="000A4D79"/>
    <w:rsid w:val="000A54A1"/>
    <w:rsid w:val="000A5521"/>
    <w:rsid w:val="000A5CF8"/>
    <w:rsid w:val="000A61ED"/>
    <w:rsid w:val="000A6D5D"/>
    <w:rsid w:val="000A6E87"/>
    <w:rsid w:val="000A736C"/>
    <w:rsid w:val="000A75AE"/>
    <w:rsid w:val="000A75DE"/>
    <w:rsid w:val="000A780E"/>
    <w:rsid w:val="000B0C25"/>
    <w:rsid w:val="000B12A2"/>
    <w:rsid w:val="000B1485"/>
    <w:rsid w:val="000B14E3"/>
    <w:rsid w:val="000B16D0"/>
    <w:rsid w:val="000B19E9"/>
    <w:rsid w:val="000B1BB3"/>
    <w:rsid w:val="000B1C2E"/>
    <w:rsid w:val="000B221B"/>
    <w:rsid w:val="000B2387"/>
    <w:rsid w:val="000B270F"/>
    <w:rsid w:val="000B2974"/>
    <w:rsid w:val="000B29FA"/>
    <w:rsid w:val="000B2BE3"/>
    <w:rsid w:val="000B2F80"/>
    <w:rsid w:val="000B3250"/>
    <w:rsid w:val="000B3358"/>
    <w:rsid w:val="000B3D6B"/>
    <w:rsid w:val="000B3DEB"/>
    <w:rsid w:val="000B40A6"/>
    <w:rsid w:val="000B40BF"/>
    <w:rsid w:val="000B466B"/>
    <w:rsid w:val="000B4A9F"/>
    <w:rsid w:val="000B4BFB"/>
    <w:rsid w:val="000B517D"/>
    <w:rsid w:val="000B58A2"/>
    <w:rsid w:val="000B5A87"/>
    <w:rsid w:val="000B5DC5"/>
    <w:rsid w:val="000B5E58"/>
    <w:rsid w:val="000B6065"/>
    <w:rsid w:val="000B6659"/>
    <w:rsid w:val="000B6722"/>
    <w:rsid w:val="000B6D4B"/>
    <w:rsid w:val="000B75CD"/>
    <w:rsid w:val="000B79D4"/>
    <w:rsid w:val="000B7B8D"/>
    <w:rsid w:val="000C00F2"/>
    <w:rsid w:val="000C0D31"/>
    <w:rsid w:val="000C188A"/>
    <w:rsid w:val="000C1A32"/>
    <w:rsid w:val="000C2583"/>
    <w:rsid w:val="000C2C9D"/>
    <w:rsid w:val="000C2CBE"/>
    <w:rsid w:val="000C2EA3"/>
    <w:rsid w:val="000C3872"/>
    <w:rsid w:val="000C3EAB"/>
    <w:rsid w:val="000C433D"/>
    <w:rsid w:val="000C4352"/>
    <w:rsid w:val="000C45B3"/>
    <w:rsid w:val="000C477B"/>
    <w:rsid w:val="000C4DB5"/>
    <w:rsid w:val="000C4F5C"/>
    <w:rsid w:val="000C5294"/>
    <w:rsid w:val="000C6231"/>
    <w:rsid w:val="000C653F"/>
    <w:rsid w:val="000C7172"/>
    <w:rsid w:val="000C79FD"/>
    <w:rsid w:val="000C7DF1"/>
    <w:rsid w:val="000C7ED6"/>
    <w:rsid w:val="000D0385"/>
    <w:rsid w:val="000D0774"/>
    <w:rsid w:val="000D0BEE"/>
    <w:rsid w:val="000D0EC3"/>
    <w:rsid w:val="000D10B9"/>
    <w:rsid w:val="000D1319"/>
    <w:rsid w:val="000D1A87"/>
    <w:rsid w:val="000D25B7"/>
    <w:rsid w:val="000D2F95"/>
    <w:rsid w:val="000D32D0"/>
    <w:rsid w:val="000D39ED"/>
    <w:rsid w:val="000D3BA2"/>
    <w:rsid w:val="000D4465"/>
    <w:rsid w:val="000D47DD"/>
    <w:rsid w:val="000D5215"/>
    <w:rsid w:val="000D529C"/>
    <w:rsid w:val="000D5D85"/>
    <w:rsid w:val="000D6381"/>
    <w:rsid w:val="000D685D"/>
    <w:rsid w:val="000D767B"/>
    <w:rsid w:val="000E0B0C"/>
    <w:rsid w:val="000E0BAB"/>
    <w:rsid w:val="000E0DE2"/>
    <w:rsid w:val="000E164C"/>
    <w:rsid w:val="000E188A"/>
    <w:rsid w:val="000E1AAF"/>
    <w:rsid w:val="000E2167"/>
    <w:rsid w:val="000E2323"/>
    <w:rsid w:val="000E2A4E"/>
    <w:rsid w:val="000E2B3D"/>
    <w:rsid w:val="000E2D65"/>
    <w:rsid w:val="000E33AC"/>
    <w:rsid w:val="000E33D6"/>
    <w:rsid w:val="000E34D7"/>
    <w:rsid w:val="000E3571"/>
    <w:rsid w:val="000E387E"/>
    <w:rsid w:val="000E4499"/>
    <w:rsid w:val="000E4941"/>
    <w:rsid w:val="000E4FA1"/>
    <w:rsid w:val="000E540A"/>
    <w:rsid w:val="000E6002"/>
    <w:rsid w:val="000E6BA0"/>
    <w:rsid w:val="000E6D98"/>
    <w:rsid w:val="000E6FE0"/>
    <w:rsid w:val="000E74C5"/>
    <w:rsid w:val="000E7D86"/>
    <w:rsid w:val="000E7F54"/>
    <w:rsid w:val="000F029D"/>
    <w:rsid w:val="000F0EBE"/>
    <w:rsid w:val="000F0FAB"/>
    <w:rsid w:val="000F1361"/>
    <w:rsid w:val="000F1B6D"/>
    <w:rsid w:val="000F1C0E"/>
    <w:rsid w:val="000F1EDD"/>
    <w:rsid w:val="000F1F46"/>
    <w:rsid w:val="000F265E"/>
    <w:rsid w:val="000F2A45"/>
    <w:rsid w:val="000F2BDD"/>
    <w:rsid w:val="000F3C1B"/>
    <w:rsid w:val="000F46DD"/>
    <w:rsid w:val="000F4818"/>
    <w:rsid w:val="000F4D52"/>
    <w:rsid w:val="000F4F1D"/>
    <w:rsid w:val="000F604D"/>
    <w:rsid w:val="000F6244"/>
    <w:rsid w:val="000F67A7"/>
    <w:rsid w:val="000F6C2A"/>
    <w:rsid w:val="00100A29"/>
    <w:rsid w:val="00100B33"/>
    <w:rsid w:val="00100D5A"/>
    <w:rsid w:val="00101258"/>
    <w:rsid w:val="0010199E"/>
    <w:rsid w:val="00101F4F"/>
    <w:rsid w:val="0010314E"/>
    <w:rsid w:val="001035B8"/>
    <w:rsid w:val="00103684"/>
    <w:rsid w:val="00103F3C"/>
    <w:rsid w:val="00104063"/>
    <w:rsid w:val="00104C14"/>
    <w:rsid w:val="00104E35"/>
    <w:rsid w:val="00104E4D"/>
    <w:rsid w:val="00104EB6"/>
    <w:rsid w:val="0010515A"/>
    <w:rsid w:val="001053A4"/>
    <w:rsid w:val="00105C71"/>
    <w:rsid w:val="00106248"/>
    <w:rsid w:val="00106431"/>
    <w:rsid w:val="00106CCB"/>
    <w:rsid w:val="00107294"/>
    <w:rsid w:val="00107341"/>
    <w:rsid w:val="00107384"/>
    <w:rsid w:val="001076CE"/>
    <w:rsid w:val="00111381"/>
    <w:rsid w:val="001119B5"/>
    <w:rsid w:val="00111A46"/>
    <w:rsid w:val="001123A0"/>
    <w:rsid w:val="00112634"/>
    <w:rsid w:val="00112696"/>
    <w:rsid w:val="00112CDB"/>
    <w:rsid w:val="001134C9"/>
    <w:rsid w:val="00113EDC"/>
    <w:rsid w:val="00113FEE"/>
    <w:rsid w:val="001145D5"/>
    <w:rsid w:val="001147A3"/>
    <w:rsid w:val="001151CC"/>
    <w:rsid w:val="00115520"/>
    <w:rsid w:val="0011621E"/>
    <w:rsid w:val="001165C4"/>
    <w:rsid w:val="001168C2"/>
    <w:rsid w:val="001174CF"/>
    <w:rsid w:val="00120623"/>
    <w:rsid w:val="001211AA"/>
    <w:rsid w:val="00121850"/>
    <w:rsid w:val="0012195B"/>
    <w:rsid w:val="00122080"/>
    <w:rsid w:val="001222A1"/>
    <w:rsid w:val="00122369"/>
    <w:rsid w:val="001223B7"/>
    <w:rsid w:val="00122791"/>
    <w:rsid w:val="00122A70"/>
    <w:rsid w:val="00122A77"/>
    <w:rsid w:val="00122F9D"/>
    <w:rsid w:val="00123288"/>
    <w:rsid w:val="001237F9"/>
    <w:rsid w:val="00123A0C"/>
    <w:rsid w:val="00123E72"/>
    <w:rsid w:val="00125137"/>
    <w:rsid w:val="00126402"/>
    <w:rsid w:val="0012664F"/>
    <w:rsid w:val="00126935"/>
    <w:rsid w:val="00127767"/>
    <w:rsid w:val="00127E89"/>
    <w:rsid w:val="00130546"/>
    <w:rsid w:val="00130A94"/>
    <w:rsid w:val="00130C6B"/>
    <w:rsid w:val="0013121D"/>
    <w:rsid w:val="00131DB0"/>
    <w:rsid w:val="00131E9F"/>
    <w:rsid w:val="00132307"/>
    <w:rsid w:val="001323C6"/>
    <w:rsid w:val="001325FB"/>
    <w:rsid w:val="0013359F"/>
    <w:rsid w:val="00133BA8"/>
    <w:rsid w:val="00133C90"/>
    <w:rsid w:val="0013428A"/>
    <w:rsid w:val="00134361"/>
    <w:rsid w:val="00134403"/>
    <w:rsid w:val="0013447D"/>
    <w:rsid w:val="001344B1"/>
    <w:rsid w:val="00134B2F"/>
    <w:rsid w:val="001357BD"/>
    <w:rsid w:val="00135C14"/>
    <w:rsid w:val="001363E6"/>
    <w:rsid w:val="0013642C"/>
    <w:rsid w:val="00136A6A"/>
    <w:rsid w:val="001379F6"/>
    <w:rsid w:val="001402EB"/>
    <w:rsid w:val="00140443"/>
    <w:rsid w:val="00140504"/>
    <w:rsid w:val="001407D4"/>
    <w:rsid w:val="0014095C"/>
    <w:rsid w:val="001409F4"/>
    <w:rsid w:val="00140A10"/>
    <w:rsid w:val="00140B9C"/>
    <w:rsid w:val="0014113A"/>
    <w:rsid w:val="00141EAD"/>
    <w:rsid w:val="00142125"/>
    <w:rsid w:val="001424CB"/>
    <w:rsid w:val="00142699"/>
    <w:rsid w:val="00142826"/>
    <w:rsid w:val="00142AFD"/>
    <w:rsid w:val="00142C30"/>
    <w:rsid w:val="00142DFB"/>
    <w:rsid w:val="00142F56"/>
    <w:rsid w:val="0014336F"/>
    <w:rsid w:val="00143641"/>
    <w:rsid w:val="00143F3B"/>
    <w:rsid w:val="001448F4"/>
    <w:rsid w:val="00144B9B"/>
    <w:rsid w:val="00144BEF"/>
    <w:rsid w:val="00144C72"/>
    <w:rsid w:val="00144D10"/>
    <w:rsid w:val="0014516D"/>
    <w:rsid w:val="00145453"/>
    <w:rsid w:val="0014571D"/>
    <w:rsid w:val="00145C0D"/>
    <w:rsid w:val="00145CAB"/>
    <w:rsid w:val="001468D7"/>
    <w:rsid w:val="00146C1A"/>
    <w:rsid w:val="00147FB4"/>
    <w:rsid w:val="00150078"/>
    <w:rsid w:val="00150372"/>
    <w:rsid w:val="001503DF"/>
    <w:rsid w:val="00150D58"/>
    <w:rsid w:val="00151091"/>
    <w:rsid w:val="00151A57"/>
    <w:rsid w:val="00152AC7"/>
    <w:rsid w:val="00152B9E"/>
    <w:rsid w:val="00153744"/>
    <w:rsid w:val="001538B4"/>
    <w:rsid w:val="00153ABB"/>
    <w:rsid w:val="00153D1B"/>
    <w:rsid w:val="00153E26"/>
    <w:rsid w:val="00154497"/>
    <w:rsid w:val="001549DB"/>
    <w:rsid w:val="00154B44"/>
    <w:rsid w:val="00154F1F"/>
    <w:rsid w:val="001554DD"/>
    <w:rsid w:val="00155918"/>
    <w:rsid w:val="00155E13"/>
    <w:rsid w:val="00155E8A"/>
    <w:rsid w:val="0015615E"/>
    <w:rsid w:val="00156A32"/>
    <w:rsid w:val="00156F64"/>
    <w:rsid w:val="00157169"/>
    <w:rsid w:val="0015716C"/>
    <w:rsid w:val="00157475"/>
    <w:rsid w:val="001574F9"/>
    <w:rsid w:val="001600E3"/>
    <w:rsid w:val="00160812"/>
    <w:rsid w:val="00160D28"/>
    <w:rsid w:val="001610F2"/>
    <w:rsid w:val="00161334"/>
    <w:rsid w:val="00161B37"/>
    <w:rsid w:val="001623FC"/>
    <w:rsid w:val="00162467"/>
    <w:rsid w:val="00162BF9"/>
    <w:rsid w:val="00162F99"/>
    <w:rsid w:val="001631C5"/>
    <w:rsid w:val="00163287"/>
    <w:rsid w:val="0016392C"/>
    <w:rsid w:val="001639FD"/>
    <w:rsid w:val="00163DD6"/>
    <w:rsid w:val="001647FE"/>
    <w:rsid w:val="00164889"/>
    <w:rsid w:val="001648BA"/>
    <w:rsid w:val="00164964"/>
    <w:rsid w:val="00164A1E"/>
    <w:rsid w:val="00165423"/>
    <w:rsid w:val="0016542E"/>
    <w:rsid w:val="00165563"/>
    <w:rsid w:val="00165D40"/>
    <w:rsid w:val="001664BA"/>
    <w:rsid w:val="0016654F"/>
    <w:rsid w:val="0016670B"/>
    <w:rsid w:val="00166814"/>
    <w:rsid w:val="00166A08"/>
    <w:rsid w:val="00166D36"/>
    <w:rsid w:val="00167055"/>
    <w:rsid w:val="00167E3A"/>
    <w:rsid w:val="00167FAB"/>
    <w:rsid w:val="0017011B"/>
    <w:rsid w:val="0017044F"/>
    <w:rsid w:val="001707E4"/>
    <w:rsid w:val="0017147D"/>
    <w:rsid w:val="00171AF2"/>
    <w:rsid w:val="00171B1D"/>
    <w:rsid w:val="00171B6E"/>
    <w:rsid w:val="00171D19"/>
    <w:rsid w:val="001720EE"/>
    <w:rsid w:val="001729F0"/>
    <w:rsid w:val="00173398"/>
    <w:rsid w:val="00173612"/>
    <w:rsid w:val="00173CF5"/>
    <w:rsid w:val="00173E00"/>
    <w:rsid w:val="00173F0F"/>
    <w:rsid w:val="00174162"/>
    <w:rsid w:val="0017477A"/>
    <w:rsid w:val="001752BE"/>
    <w:rsid w:val="001753D5"/>
    <w:rsid w:val="00175B9C"/>
    <w:rsid w:val="0017622C"/>
    <w:rsid w:val="001764A1"/>
    <w:rsid w:val="00176E14"/>
    <w:rsid w:val="00177282"/>
    <w:rsid w:val="001775D8"/>
    <w:rsid w:val="00177648"/>
    <w:rsid w:val="00177DDB"/>
    <w:rsid w:val="00177DF0"/>
    <w:rsid w:val="00177E88"/>
    <w:rsid w:val="00180377"/>
    <w:rsid w:val="0018065B"/>
    <w:rsid w:val="001811C3"/>
    <w:rsid w:val="00181289"/>
    <w:rsid w:val="00181344"/>
    <w:rsid w:val="001815A2"/>
    <w:rsid w:val="00181C48"/>
    <w:rsid w:val="0018202D"/>
    <w:rsid w:val="001820E4"/>
    <w:rsid w:val="001825EB"/>
    <w:rsid w:val="001827E3"/>
    <w:rsid w:val="0018295F"/>
    <w:rsid w:val="00182BB5"/>
    <w:rsid w:val="001830E0"/>
    <w:rsid w:val="00183B23"/>
    <w:rsid w:val="00183C31"/>
    <w:rsid w:val="00183D60"/>
    <w:rsid w:val="00183DC6"/>
    <w:rsid w:val="00184390"/>
    <w:rsid w:val="00184822"/>
    <w:rsid w:val="001853F7"/>
    <w:rsid w:val="0018601C"/>
    <w:rsid w:val="00186902"/>
    <w:rsid w:val="00186A6B"/>
    <w:rsid w:val="00187107"/>
    <w:rsid w:val="0018713F"/>
    <w:rsid w:val="001877DD"/>
    <w:rsid w:val="00190C35"/>
    <w:rsid w:val="0019142E"/>
    <w:rsid w:val="001920F0"/>
    <w:rsid w:val="00192997"/>
    <w:rsid w:val="00192F0A"/>
    <w:rsid w:val="001933FD"/>
    <w:rsid w:val="0019399F"/>
    <w:rsid w:val="00193B02"/>
    <w:rsid w:val="00193E21"/>
    <w:rsid w:val="001943F5"/>
    <w:rsid w:val="001947C2"/>
    <w:rsid w:val="00194883"/>
    <w:rsid w:val="001950CE"/>
    <w:rsid w:val="001963E6"/>
    <w:rsid w:val="00197A7F"/>
    <w:rsid w:val="00197B6A"/>
    <w:rsid w:val="001A11C7"/>
    <w:rsid w:val="001A194D"/>
    <w:rsid w:val="001A19BF"/>
    <w:rsid w:val="001A1B57"/>
    <w:rsid w:val="001A1D95"/>
    <w:rsid w:val="001A1FC1"/>
    <w:rsid w:val="001A2117"/>
    <w:rsid w:val="001A25C4"/>
    <w:rsid w:val="001A26F9"/>
    <w:rsid w:val="001A2B11"/>
    <w:rsid w:val="001A3076"/>
    <w:rsid w:val="001A30F8"/>
    <w:rsid w:val="001A3389"/>
    <w:rsid w:val="001A3A09"/>
    <w:rsid w:val="001A3A70"/>
    <w:rsid w:val="001A3D18"/>
    <w:rsid w:val="001A40DE"/>
    <w:rsid w:val="001A41CF"/>
    <w:rsid w:val="001A43A4"/>
    <w:rsid w:val="001A4BFD"/>
    <w:rsid w:val="001A4CEE"/>
    <w:rsid w:val="001A4DD8"/>
    <w:rsid w:val="001A4EA7"/>
    <w:rsid w:val="001A5635"/>
    <w:rsid w:val="001A5B14"/>
    <w:rsid w:val="001A5BDA"/>
    <w:rsid w:val="001A5F58"/>
    <w:rsid w:val="001A610D"/>
    <w:rsid w:val="001A63E2"/>
    <w:rsid w:val="001A67D5"/>
    <w:rsid w:val="001A6C29"/>
    <w:rsid w:val="001A77FA"/>
    <w:rsid w:val="001A7FFD"/>
    <w:rsid w:val="001B05D5"/>
    <w:rsid w:val="001B144B"/>
    <w:rsid w:val="001B17FF"/>
    <w:rsid w:val="001B1806"/>
    <w:rsid w:val="001B183B"/>
    <w:rsid w:val="001B1877"/>
    <w:rsid w:val="001B1A48"/>
    <w:rsid w:val="001B1AD2"/>
    <w:rsid w:val="001B36E7"/>
    <w:rsid w:val="001B375A"/>
    <w:rsid w:val="001B3B07"/>
    <w:rsid w:val="001B494B"/>
    <w:rsid w:val="001B4CB7"/>
    <w:rsid w:val="001B4D65"/>
    <w:rsid w:val="001B51C8"/>
    <w:rsid w:val="001B58C2"/>
    <w:rsid w:val="001B5EC0"/>
    <w:rsid w:val="001B64EC"/>
    <w:rsid w:val="001B66F4"/>
    <w:rsid w:val="001C030D"/>
    <w:rsid w:val="001C04DC"/>
    <w:rsid w:val="001C0707"/>
    <w:rsid w:val="001C12E5"/>
    <w:rsid w:val="001C13A2"/>
    <w:rsid w:val="001C147C"/>
    <w:rsid w:val="001C208B"/>
    <w:rsid w:val="001C231A"/>
    <w:rsid w:val="001C2B2D"/>
    <w:rsid w:val="001C3181"/>
    <w:rsid w:val="001C3506"/>
    <w:rsid w:val="001C3C5D"/>
    <w:rsid w:val="001C442E"/>
    <w:rsid w:val="001C465E"/>
    <w:rsid w:val="001C5760"/>
    <w:rsid w:val="001C6207"/>
    <w:rsid w:val="001C694D"/>
    <w:rsid w:val="001C69DB"/>
    <w:rsid w:val="001C6B0E"/>
    <w:rsid w:val="001C7460"/>
    <w:rsid w:val="001D0A50"/>
    <w:rsid w:val="001D0A95"/>
    <w:rsid w:val="001D13C4"/>
    <w:rsid w:val="001D15AE"/>
    <w:rsid w:val="001D1B89"/>
    <w:rsid w:val="001D1CD2"/>
    <w:rsid w:val="001D1D75"/>
    <w:rsid w:val="001D2029"/>
    <w:rsid w:val="001D2070"/>
    <w:rsid w:val="001D20D6"/>
    <w:rsid w:val="001D2471"/>
    <w:rsid w:val="001D2CF8"/>
    <w:rsid w:val="001D2F17"/>
    <w:rsid w:val="001D398E"/>
    <w:rsid w:val="001D3C1C"/>
    <w:rsid w:val="001D3D4F"/>
    <w:rsid w:val="001D3E5A"/>
    <w:rsid w:val="001D3EEB"/>
    <w:rsid w:val="001D412E"/>
    <w:rsid w:val="001D42D5"/>
    <w:rsid w:val="001D4B3E"/>
    <w:rsid w:val="001D4CDD"/>
    <w:rsid w:val="001D5057"/>
    <w:rsid w:val="001D5455"/>
    <w:rsid w:val="001D62B0"/>
    <w:rsid w:val="001D63B9"/>
    <w:rsid w:val="001D660E"/>
    <w:rsid w:val="001D6872"/>
    <w:rsid w:val="001D7343"/>
    <w:rsid w:val="001D751F"/>
    <w:rsid w:val="001D7639"/>
    <w:rsid w:val="001E0084"/>
    <w:rsid w:val="001E0C04"/>
    <w:rsid w:val="001E0D7D"/>
    <w:rsid w:val="001E0DC5"/>
    <w:rsid w:val="001E0E43"/>
    <w:rsid w:val="001E1221"/>
    <w:rsid w:val="001E1C51"/>
    <w:rsid w:val="001E1C88"/>
    <w:rsid w:val="001E1DFD"/>
    <w:rsid w:val="001E1E29"/>
    <w:rsid w:val="001E21DD"/>
    <w:rsid w:val="001E3000"/>
    <w:rsid w:val="001E31AD"/>
    <w:rsid w:val="001E3939"/>
    <w:rsid w:val="001E3E51"/>
    <w:rsid w:val="001E40DE"/>
    <w:rsid w:val="001E42FE"/>
    <w:rsid w:val="001E43B9"/>
    <w:rsid w:val="001E4751"/>
    <w:rsid w:val="001E49BE"/>
    <w:rsid w:val="001E4B87"/>
    <w:rsid w:val="001E53C3"/>
    <w:rsid w:val="001E56CD"/>
    <w:rsid w:val="001E5ED1"/>
    <w:rsid w:val="001E60D7"/>
    <w:rsid w:val="001E695C"/>
    <w:rsid w:val="001E7584"/>
    <w:rsid w:val="001E75BC"/>
    <w:rsid w:val="001E7B76"/>
    <w:rsid w:val="001F04A7"/>
    <w:rsid w:val="001F0526"/>
    <w:rsid w:val="001F0739"/>
    <w:rsid w:val="001F0A08"/>
    <w:rsid w:val="001F14BA"/>
    <w:rsid w:val="001F15A5"/>
    <w:rsid w:val="001F1791"/>
    <w:rsid w:val="001F194F"/>
    <w:rsid w:val="001F2008"/>
    <w:rsid w:val="001F21A8"/>
    <w:rsid w:val="001F261E"/>
    <w:rsid w:val="001F274F"/>
    <w:rsid w:val="001F3006"/>
    <w:rsid w:val="001F33E1"/>
    <w:rsid w:val="001F3BC3"/>
    <w:rsid w:val="001F3CFA"/>
    <w:rsid w:val="001F4067"/>
    <w:rsid w:val="001F45F1"/>
    <w:rsid w:val="001F4617"/>
    <w:rsid w:val="001F47FE"/>
    <w:rsid w:val="001F4844"/>
    <w:rsid w:val="001F4DDE"/>
    <w:rsid w:val="001F4F33"/>
    <w:rsid w:val="001F5098"/>
    <w:rsid w:val="001F51D2"/>
    <w:rsid w:val="001F545D"/>
    <w:rsid w:val="001F5A06"/>
    <w:rsid w:val="001F60D5"/>
    <w:rsid w:val="001F695B"/>
    <w:rsid w:val="001F6B3D"/>
    <w:rsid w:val="001F6E57"/>
    <w:rsid w:val="001F73A0"/>
    <w:rsid w:val="001F79CD"/>
    <w:rsid w:val="001F7A09"/>
    <w:rsid w:val="001F7F1A"/>
    <w:rsid w:val="0020050B"/>
    <w:rsid w:val="002008CE"/>
    <w:rsid w:val="00200CB6"/>
    <w:rsid w:val="002015BC"/>
    <w:rsid w:val="00201C74"/>
    <w:rsid w:val="00202758"/>
    <w:rsid w:val="00202B4B"/>
    <w:rsid w:val="0020381F"/>
    <w:rsid w:val="0020391D"/>
    <w:rsid w:val="00204187"/>
    <w:rsid w:val="002049F3"/>
    <w:rsid w:val="00204DCE"/>
    <w:rsid w:val="002050BF"/>
    <w:rsid w:val="0020575B"/>
    <w:rsid w:val="00205B42"/>
    <w:rsid w:val="00205BB7"/>
    <w:rsid w:val="00206708"/>
    <w:rsid w:val="00206BE3"/>
    <w:rsid w:val="002072B6"/>
    <w:rsid w:val="00207730"/>
    <w:rsid w:val="00207A49"/>
    <w:rsid w:val="00210104"/>
    <w:rsid w:val="0021018E"/>
    <w:rsid w:val="00210DAA"/>
    <w:rsid w:val="0021115A"/>
    <w:rsid w:val="00211439"/>
    <w:rsid w:val="00212541"/>
    <w:rsid w:val="00212783"/>
    <w:rsid w:val="0021311A"/>
    <w:rsid w:val="00213A39"/>
    <w:rsid w:val="00213A77"/>
    <w:rsid w:val="00213E15"/>
    <w:rsid w:val="0021421E"/>
    <w:rsid w:val="002143B6"/>
    <w:rsid w:val="00214746"/>
    <w:rsid w:val="0021508D"/>
    <w:rsid w:val="00215208"/>
    <w:rsid w:val="00215B39"/>
    <w:rsid w:val="00215E50"/>
    <w:rsid w:val="00216068"/>
    <w:rsid w:val="00216204"/>
    <w:rsid w:val="002166DD"/>
    <w:rsid w:val="00216734"/>
    <w:rsid w:val="0021681B"/>
    <w:rsid w:val="00216E8D"/>
    <w:rsid w:val="002176E7"/>
    <w:rsid w:val="0021774F"/>
    <w:rsid w:val="00217F4C"/>
    <w:rsid w:val="00220883"/>
    <w:rsid w:val="00220A20"/>
    <w:rsid w:val="00220E09"/>
    <w:rsid w:val="00221F9A"/>
    <w:rsid w:val="00221FA6"/>
    <w:rsid w:val="00222480"/>
    <w:rsid w:val="00222621"/>
    <w:rsid w:val="00223057"/>
    <w:rsid w:val="00223BCA"/>
    <w:rsid w:val="00224011"/>
    <w:rsid w:val="00224188"/>
    <w:rsid w:val="0022429C"/>
    <w:rsid w:val="0022499B"/>
    <w:rsid w:val="0022538D"/>
    <w:rsid w:val="002255C3"/>
    <w:rsid w:val="002257AF"/>
    <w:rsid w:val="00225CD8"/>
    <w:rsid w:val="002265D4"/>
    <w:rsid w:val="00226CA4"/>
    <w:rsid w:val="00226CE0"/>
    <w:rsid w:val="00227606"/>
    <w:rsid w:val="00227704"/>
    <w:rsid w:val="0022785D"/>
    <w:rsid w:val="0022798D"/>
    <w:rsid w:val="00227EB8"/>
    <w:rsid w:val="00227F7B"/>
    <w:rsid w:val="00230193"/>
    <w:rsid w:val="002306BC"/>
    <w:rsid w:val="002307AD"/>
    <w:rsid w:val="00230A1E"/>
    <w:rsid w:val="00230C46"/>
    <w:rsid w:val="002316D4"/>
    <w:rsid w:val="0023170B"/>
    <w:rsid w:val="00231946"/>
    <w:rsid w:val="00231AB9"/>
    <w:rsid w:val="00231CB6"/>
    <w:rsid w:val="002322EC"/>
    <w:rsid w:val="002335FF"/>
    <w:rsid w:val="0023392B"/>
    <w:rsid w:val="00233B4A"/>
    <w:rsid w:val="00234413"/>
    <w:rsid w:val="00234523"/>
    <w:rsid w:val="0023478A"/>
    <w:rsid w:val="00234A79"/>
    <w:rsid w:val="00234AB8"/>
    <w:rsid w:val="00234B19"/>
    <w:rsid w:val="00234B4B"/>
    <w:rsid w:val="00235BB9"/>
    <w:rsid w:val="00235DDB"/>
    <w:rsid w:val="00236565"/>
    <w:rsid w:val="00236C55"/>
    <w:rsid w:val="00236C8E"/>
    <w:rsid w:val="00237324"/>
    <w:rsid w:val="00237E0B"/>
    <w:rsid w:val="00237F6C"/>
    <w:rsid w:val="00240045"/>
    <w:rsid w:val="00240413"/>
    <w:rsid w:val="00240E49"/>
    <w:rsid w:val="0024102B"/>
    <w:rsid w:val="0024129E"/>
    <w:rsid w:val="002413C3"/>
    <w:rsid w:val="00241532"/>
    <w:rsid w:val="00241627"/>
    <w:rsid w:val="002417F8"/>
    <w:rsid w:val="00241D6A"/>
    <w:rsid w:val="00242BB9"/>
    <w:rsid w:val="00242E29"/>
    <w:rsid w:val="0024351C"/>
    <w:rsid w:val="00244033"/>
    <w:rsid w:val="002441DD"/>
    <w:rsid w:val="00244269"/>
    <w:rsid w:val="00244678"/>
    <w:rsid w:val="00244E52"/>
    <w:rsid w:val="00245046"/>
    <w:rsid w:val="00245AFB"/>
    <w:rsid w:val="002462EB"/>
    <w:rsid w:val="00246632"/>
    <w:rsid w:val="002467C0"/>
    <w:rsid w:val="00246935"/>
    <w:rsid w:val="00246E37"/>
    <w:rsid w:val="00246E75"/>
    <w:rsid w:val="0024717E"/>
    <w:rsid w:val="0024753E"/>
    <w:rsid w:val="0024756F"/>
    <w:rsid w:val="002477C2"/>
    <w:rsid w:val="002477FC"/>
    <w:rsid w:val="0024799C"/>
    <w:rsid w:val="002506A8"/>
    <w:rsid w:val="0025079D"/>
    <w:rsid w:val="00250E2B"/>
    <w:rsid w:val="00250F51"/>
    <w:rsid w:val="00250F9D"/>
    <w:rsid w:val="00251092"/>
    <w:rsid w:val="00251608"/>
    <w:rsid w:val="002518D6"/>
    <w:rsid w:val="00251CCA"/>
    <w:rsid w:val="00251CDF"/>
    <w:rsid w:val="00251D39"/>
    <w:rsid w:val="00251E94"/>
    <w:rsid w:val="00252299"/>
    <w:rsid w:val="00252374"/>
    <w:rsid w:val="002523AD"/>
    <w:rsid w:val="00252731"/>
    <w:rsid w:val="00252A01"/>
    <w:rsid w:val="00253B70"/>
    <w:rsid w:val="00253CCA"/>
    <w:rsid w:val="00254030"/>
    <w:rsid w:val="002548CC"/>
    <w:rsid w:val="00254DF1"/>
    <w:rsid w:val="002551F3"/>
    <w:rsid w:val="00255DAA"/>
    <w:rsid w:val="00256020"/>
    <w:rsid w:val="0025609E"/>
    <w:rsid w:val="00256157"/>
    <w:rsid w:val="002562CF"/>
    <w:rsid w:val="00256EC8"/>
    <w:rsid w:val="00257078"/>
    <w:rsid w:val="002570F5"/>
    <w:rsid w:val="00257292"/>
    <w:rsid w:val="0025749B"/>
    <w:rsid w:val="00257AF8"/>
    <w:rsid w:val="00260274"/>
    <w:rsid w:val="00260685"/>
    <w:rsid w:val="0026071B"/>
    <w:rsid w:val="002607DF"/>
    <w:rsid w:val="00261339"/>
    <w:rsid w:val="00261A7D"/>
    <w:rsid w:val="00261D73"/>
    <w:rsid w:val="002620C1"/>
    <w:rsid w:val="0026288E"/>
    <w:rsid w:val="00262B93"/>
    <w:rsid w:val="00263004"/>
    <w:rsid w:val="00263628"/>
    <w:rsid w:val="00263A36"/>
    <w:rsid w:val="00263D2B"/>
    <w:rsid w:val="00264050"/>
    <w:rsid w:val="00264167"/>
    <w:rsid w:val="002643D5"/>
    <w:rsid w:val="0026471E"/>
    <w:rsid w:val="00264D91"/>
    <w:rsid w:val="00265447"/>
    <w:rsid w:val="002655BB"/>
    <w:rsid w:val="00266211"/>
    <w:rsid w:val="00266A62"/>
    <w:rsid w:val="00266D78"/>
    <w:rsid w:val="00266EB5"/>
    <w:rsid w:val="00267132"/>
    <w:rsid w:val="002672CE"/>
    <w:rsid w:val="002672DB"/>
    <w:rsid w:val="002673DF"/>
    <w:rsid w:val="0026774F"/>
    <w:rsid w:val="002677FE"/>
    <w:rsid w:val="002678AD"/>
    <w:rsid w:val="002704D0"/>
    <w:rsid w:val="00270943"/>
    <w:rsid w:val="002713BB"/>
    <w:rsid w:val="002717A1"/>
    <w:rsid w:val="00271F17"/>
    <w:rsid w:val="00272066"/>
    <w:rsid w:val="00272254"/>
    <w:rsid w:val="002722D6"/>
    <w:rsid w:val="00272466"/>
    <w:rsid w:val="002724DE"/>
    <w:rsid w:val="002724E9"/>
    <w:rsid w:val="0027268F"/>
    <w:rsid w:val="00272A2B"/>
    <w:rsid w:val="00272A5B"/>
    <w:rsid w:val="00272A75"/>
    <w:rsid w:val="00273020"/>
    <w:rsid w:val="00273B35"/>
    <w:rsid w:val="00273B75"/>
    <w:rsid w:val="00273D2E"/>
    <w:rsid w:val="00273FD9"/>
    <w:rsid w:val="0027405D"/>
    <w:rsid w:val="002752A1"/>
    <w:rsid w:val="0027536B"/>
    <w:rsid w:val="002756B5"/>
    <w:rsid w:val="0027590E"/>
    <w:rsid w:val="0027616A"/>
    <w:rsid w:val="002761A3"/>
    <w:rsid w:val="0027625A"/>
    <w:rsid w:val="002767C6"/>
    <w:rsid w:val="00276B46"/>
    <w:rsid w:val="00276E5A"/>
    <w:rsid w:val="00276F70"/>
    <w:rsid w:val="00277B9C"/>
    <w:rsid w:val="00277E61"/>
    <w:rsid w:val="0028017E"/>
    <w:rsid w:val="00280794"/>
    <w:rsid w:val="00280C83"/>
    <w:rsid w:val="00281408"/>
    <w:rsid w:val="002814D5"/>
    <w:rsid w:val="0028202F"/>
    <w:rsid w:val="00282483"/>
    <w:rsid w:val="002824EE"/>
    <w:rsid w:val="00282DB2"/>
    <w:rsid w:val="0028307B"/>
    <w:rsid w:val="00283350"/>
    <w:rsid w:val="00283E16"/>
    <w:rsid w:val="00283E72"/>
    <w:rsid w:val="0028422C"/>
    <w:rsid w:val="00284CAD"/>
    <w:rsid w:val="0028515B"/>
    <w:rsid w:val="00285354"/>
    <w:rsid w:val="00285E53"/>
    <w:rsid w:val="0028611A"/>
    <w:rsid w:val="00286915"/>
    <w:rsid w:val="002869FA"/>
    <w:rsid w:val="00287498"/>
    <w:rsid w:val="00287F95"/>
    <w:rsid w:val="002902CE"/>
    <w:rsid w:val="00290D7F"/>
    <w:rsid w:val="00291095"/>
    <w:rsid w:val="00291356"/>
    <w:rsid w:val="00292EB6"/>
    <w:rsid w:val="00293282"/>
    <w:rsid w:val="002935B1"/>
    <w:rsid w:val="00293945"/>
    <w:rsid w:val="00293CEB"/>
    <w:rsid w:val="00293D36"/>
    <w:rsid w:val="00293EF4"/>
    <w:rsid w:val="00294457"/>
    <w:rsid w:val="002944E9"/>
    <w:rsid w:val="0029471C"/>
    <w:rsid w:val="00295826"/>
    <w:rsid w:val="00295A2F"/>
    <w:rsid w:val="00295BBD"/>
    <w:rsid w:val="00295D30"/>
    <w:rsid w:val="00295EE1"/>
    <w:rsid w:val="0029612C"/>
    <w:rsid w:val="002964AA"/>
    <w:rsid w:val="00296535"/>
    <w:rsid w:val="002971BC"/>
    <w:rsid w:val="002977C0"/>
    <w:rsid w:val="00297A31"/>
    <w:rsid w:val="002A0141"/>
    <w:rsid w:val="002A01F1"/>
    <w:rsid w:val="002A09E3"/>
    <w:rsid w:val="002A1028"/>
    <w:rsid w:val="002A1502"/>
    <w:rsid w:val="002A1A2B"/>
    <w:rsid w:val="002A1BA0"/>
    <w:rsid w:val="002A2160"/>
    <w:rsid w:val="002A222E"/>
    <w:rsid w:val="002A2655"/>
    <w:rsid w:val="002A2D25"/>
    <w:rsid w:val="002A2D9D"/>
    <w:rsid w:val="002A41C4"/>
    <w:rsid w:val="002A43B6"/>
    <w:rsid w:val="002A4410"/>
    <w:rsid w:val="002A4706"/>
    <w:rsid w:val="002A55C2"/>
    <w:rsid w:val="002A5861"/>
    <w:rsid w:val="002A6168"/>
    <w:rsid w:val="002A627A"/>
    <w:rsid w:val="002A6387"/>
    <w:rsid w:val="002A6415"/>
    <w:rsid w:val="002A683A"/>
    <w:rsid w:val="002A725B"/>
    <w:rsid w:val="002B066F"/>
    <w:rsid w:val="002B0A91"/>
    <w:rsid w:val="002B1361"/>
    <w:rsid w:val="002B1723"/>
    <w:rsid w:val="002B1744"/>
    <w:rsid w:val="002B1917"/>
    <w:rsid w:val="002B3746"/>
    <w:rsid w:val="002B4086"/>
    <w:rsid w:val="002B4820"/>
    <w:rsid w:val="002B497E"/>
    <w:rsid w:val="002B4E7C"/>
    <w:rsid w:val="002B4F45"/>
    <w:rsid w:val="002B6609"/>
    <w:rsid w:val="002B68AF"/>
    <w:rsid w:val="002B7179"/>
    <w:rsid w:val="002B7283"/>
    <w:rsid w:val="002B76DF"/>
    <w:rsid w:val="002B7730"/>
    <w:rsid w:val="002B786A"/>
    <w:rsid w:val="002B79D7"/>
    <w:rsid w:val="002B7F25"/>
    <w:rsid w:val="002C0398"/>
    <w:rsid w:val="002C03FB"/>
    <w:rsid w:val="002C078E"/>
    <w:rsid w:val="002C0C71"/>
    <w:rsid w:val="002C1CED"/>
    <w:rsid w:val="002C206D"/>
    <w:rsid w:val="002C28BF"/>
    <w:rsid w:val="002C2CA3"/>
    <w:rsid w:val="002C2CB2"/>
    <w:rsid w:val="002C30EA"/>
    <w:rsid w:val="002C32AB"/>
    <w:rsid w:val="002C3344"/>
    <w:rsid w:val="002C3820"/>
    <w:rsid w:val="002C3A6F"/>
    <w:rsid w:val="002C3DD7"/>
    <w:rsid w:val="002C420B"/>
    <w:rsid w:val="002C4B13"/>
    <w:rsid w:val="002C4BAF"/>
    <w:rsid w:val="002C56AF"/>
    <w:rsid w:val="002C7099"/>
    <w:rsid w:val="002C7315"/>
    <w:rsid w:val="002C759A"/>
    <w:rsid w:val="002D0C99"/>
    <w:rsid w:val="002D0D62"/>
    <w:rsid w:val="002D10B1"/>
    <w:rsid w:val="002D1660"/>
    <w:rsid w:val="002D1F2E"/>
    <w:rsid w:val="002D25C0"/>
    <w:rsid w:val="002D2BA4"/>
    <w:rsid w:val="002D2F17"/>
    <w:rsid w:val="002D32F5"/>
    <w:rsid w:val="002D3407"/>
    <w:rsid w:val="002D3C66"/>
    <w:rsid w:val="002D4055"/>
    <w:rsid w:val="002D454F"/>
    <w:rsid w:val="002D4952"/>
    <w:rsid w:val="002D5421"/>
    <w:rsid w:val="002D556E"/>
    <w:rsid w:val="002D5A50"/>
    <w:rsid w:val="002D5ED5"/>
    <w:rsid w:val="002D6AB9"/>
    <w:rsid w:val="002D7156"/>
    <w:rsid w:val="002D7A26"/>
    <w:rsid w:val="002D7AB6"/>
    <w:rsid w:val="002D7B60"/>
    <w:rsid w:val="002E0210"/>
    <w:rsid w:val="002E0255"/>
    <w:rsid w:val="002E0385"/>
    <w:rsid w:val="002E03DC"/>
    <w:rsid w:val="002E040B"/>
    <w:rsid w:val="002E05CE"/>
    <w:rsid w:val="002E05FC"/>
    <w:rsid w:val="002E0BDD"/>
    <w:rsid w:val="002E0F67"/>
    <w:rsid w:val="002E13AA"/>
    <w:rsid w:val="002E1B40"/>
    <w:rsid w:val="002E1BD6"/>
    <w:rsid w:val="002E2523"/>
    <w:rsid w:val="002E255A"/>
    <w:rsid w:val="002E34DC"/>
    <w:rsid w:val="002E35D8"/>
    <w:rsid w:val="002E3669"/>
    <w:rsid w:val="002E3733"/>
    <w:rsid w:val="002E37AC"/>
    <w:rsid w:val="002E3A78"/>
    <w:rsid w:val="002E3E4C"/>
    <w:rsid w:val="002E3F50"/>
    <w:rsid w:val="002E49F1"/>
    <w:rsid w:val="002E53A9"/>
    <w:rsid w:val="002E6172"/>
    <w:rsid w:val="002E6905"/>
    <w:rsid w:val="002E6C9B"/>
    <w:rsid w:val="002E7155"/>
    <w:rsid w:val="002E71D6"/>
    <w:rsid w:val="002E7D83"/>
    <w:rsid w:val="002F0A01"/>
    <w:rsid w:val="002F0EA9"/>
    <w:rsid w:val="002F126C"/>
    <w:rsid w:val="002F1859"/>
    <w:rsid w:val="002F198D"/>
    <w:rsid w:val="002F1BAA"/>
    <w:rsid w:val="002F1E11"/>
    <w:rsid w:val="002F1F82"/>
    <w:rsid w:val="002F2C78"/>
    <w:rsid w:val="002F302C"/>
    <w:rsid w:val="002F32DD"/>
    <w:rsid w:val="002F3FC4"/>
    <w:rsid w:val="002F487E"/>
    <w:rsid w:val="002F4F87"/>
    <w:rsid w:val="002F57C8"/>
    <w:rsid w:val="002F63D8"/>
    <w:rsid w:val="002F64B5"/>
    <w:rsid w:val="002F7B0A"/>
    <w:rsid w:val="002F7B8C"/>
    <w:rsid w:val="00300924"/>
    <w:rsid w:val="00300988"/>
    <w:rsid w:val="003009F9"/>
    <w:rsid w:val="00300D84"/>
    <w:rsid w:val="00300DEC"/>
    <w:rsid w:val="00300E69"/>
    <w:rsid w:val="00300E77"/>
    <w:rsid w:val="00301132"/>
    <w:rsid w:val="00301BF2"/>
    <w:rsid w:val="00302F4A"/>
    <w:rsid w:val="00304437"/>
    <w:rsid w:val="0030473F"/>
    <w:rsid w:val="0030485E"/>
    <w:rsid w:val="00305402"/>
    <w:rsid w:val="00305649"/>
    <w:rsid w:val="0030571B"/>
    <w:rsid w:val="00305DCD"/>
    <w:rsid w:val="00305E3A"/>
    <w:rsid w:val="00306074"/>
    <w:rsid w:val="003061B4"/>
    <w:rsid w:val="0030678B"/>
    <w:rsid w:val="00306861"/>
    <w:rsid w:val="003068E5"/>
    <w:rsid w:val="00306D02"/>
    <w:rsid w:val="00306FE8"/>
    <w:rsid w:val="0030729F"/>
    <w:rsid w:val="003072D9"/>
    <w:rsid w:val="003076AE"/>
    <w:rsid w:val="003077A6"/>
    <w:rsid w:val="00307A84"/>
    <w:rsid w:val="00310011"/>
    <w:rsid w:val="00310273"/>
    <w:rsid w:val="003104F4"/>
    <w:rsid w:val="0031096E"/>
    <w:rsid w:val="00310C35"/>
    <w:rsid w:val="00310D92"/>
    <w:rsid w:val="0031181E"/>
    <w:rsid w:val="003119E0"/>
    <w:rsid w:val="00311BF2"/>
    <w:rsid w:val="00312975"/>
    <w:rsid w:val="003139C1"/>
    <w:rsid w:val="00314DF2"/>
    <w:rsid w:val="00315709"/>
    <w:rsid w:val="00315BC5"/>
    <w:rsid w:val="00315D27"/>
    <w:rsid w:val="00315ED0"/>
    <w:rsid w:val="003161EC"/>
    <w:rsid w:val="00316522"/>
    <w:rsid w:val="003169FE"/>
    <w:rsid w:val="00316B99"/>
    <w:rsid w:val="0031728A"/>
    <w:rsid w:val="00317342"/>
    <w:rsid w:val="003176FF"/>
    <w:rsid w:val="00317831"/>
    <w:rsid w:val="00317AF5"/>
    <w:rsid w:val="00317F92"/>
    <w:rsid w:val="00320B8D"/>
    <w:rsid w:val="00320BB1"/>
    <w:rsid w:val="0032103D"/>
    <w:rsid w:val="003210AB"/>
    <w:rsid w:val="0032161D"/>
    <w:rsid w:val="00321929"/>
    <w:rsid w:val="003219D3"/>
    <w:rsid w:val="00321EAD"/>
    <w:rsid w:val="00321FB5"/>
    <w:rsid w:val="0032293D"/>
    <w:rsid w:val="0032319C"/>
    <w:rsid w:val="003237EB"/>
    <w:rsid w:val="0032394C"/>
    <w:rsid w:val="00323B19"/>
    <w:rsid w:val="00323E36"/>
    <w:rsid w:val="00324004"/>
    <w:rsid w:val="00324205"/>
    <w:rsid w:val="003242AA"/>
    <w:rsid w:val="00324DF0"/>
    <w:rsid w:val="0032542A"/>
    <w:rsid w:val="0032575C"/>
    <w:rsid w:val="00325C72"/>
    <w:rsid w:val="00326413"/>
    <w:rsid w:val="00326AE4"/>
    <w:rsid w:val="00326EBD"/>
    <w:rsid w:val="0032757A"/>
    <w:rsid w:val="0032765B"/>
    <w:rsid w:val="003277C7"/>
    <w:rsid w:val="003304CB"/>
    <w:rsid w:val="00330592"/>
    <w:rsid w:val="00330AB7"/>
    <w:rsid w:val="00330AFD"/>
    <w:rsid w:val="00330CDF"/>
    <w:rsid w:val="00331489"/>
    <w:rsid w:val="0033176C"/>
    <w:rsid w:val="00331F05"/>
    <w:rsid w:val="00332870"/>
    <w:rsid w:val="0033320C"/>
    <w:rsid w:val="003332B4"/>
    <w:rsid w:val="0033365C"/>
    <w:rsid w:val="0033420A"/>
    <w:rsid w:val="0033425E"/>
    <w:rsid w:val="00335162"/>
    <w:rsid w:val="003351CD"/>
    <w:rsid w:val="003359E9"/>
    <w:rsid w:val="00335CEC"/>
    <w:rsid w:val="00335FAD"/>
    <w:rsid w:val="0033633C"/>
    <w:rsid w:val="0033655D"/>
    <w:rsid w:val="00336A2C"/>
    <w:rsid w:val="00336A6D"/>
    <w:rsid w:val="003377D7"/>
    <w:rsid w:val="00337BDC"/>
    <w:rsid w:val="00337F20"/>
    <w:rsid w:val="00337F39"/>
    <w:rsid w:val="00340B57"/>
    <w:rsid w:val="00340E5B"/>
    <w:rsid w:val="00341955"/>
    <w:rsid w:val="00341AEF"/>
    <w:rsid w:val="00341C39"/>
    <w:rsid w:val="00341E1C"/>
    <w:rsid w:val="00342026"/>
    <w:rsid w:val="0034207B"/>
    <w:rsid w:val="00342BDD"/>
    <w:rsid w:val="00342F00"/>
    <w:rsid w:val="0034335E"/>
    <w:rsid w:val="00343AD7"/>
    <w:rsid w:val="00344048"/>
    <w:rsid w:val="00344114"/>
    <w:rsid w:val="003443F6"/>
    <w:rsid w:val="00344AA2"/>
    <w:rsid w:val="00344B91"/>
    <w:rsid w:val="00344BEB"/>
    <w:rsid w:val="00344BF4"/>
    <w:rsid w:val="00344CA6"/>
    <w:rsid w:val="00344D45"/>
    <w:rsid w:val="0034578E"/>
    <w:rsid w:val="003458EE"/>
    <w:rsid w:val="00345C97"/>
    <w:rsid w:val="00345E17"/>
    <w:rsid w:val="00345E3B"/>
    <w:rsid w:val="00345E67"/>
    <w:rsid w:val="003461E8"/>
    <w:rsid w:val="003476FA"/>
    <w:rsid w:val="00347E27"/>
    <w:rsid w:val="003503F9"/>
    <w:rsid w:val="0035043B"/>
    <w:rsid w:val="00350D44"/>
    <w:rsid w:val="00352DB2"/>
    <w:rsid w:val="0035385B"/>
    <w:rsid w:val="00353896"/>
    <w:rsid w:val="00353C69"/>
    <w:rsid w:val="00354A87"/>
    <w:rsid w:val="00354B5D"/>
    <w:rsid w:val="00354BCB"/>
    <w:rsid w:val="00354DBE"/>
    <w:rsid w:val="0035505C"/>
    <w:rsid w:val="0035570D"/>
    <w:rsid w:val="003558E2"/>
    <w:rsid w:val="003559D8"/>
    <w:rsid w:val="0035619F"/>
    <w:rsid w:val="00356654"/>
    <w:rsid w:val="00356B60"/>
    <w:rsid w:val="00356C69"/>
    <w:rsid w:val="00356D7C"/>
    <w:rsid w:val="0035730D"/>
    <w:rsid w:val="00357B6B"/>
    <w:rsid w:val="00357CF0"/>
    <w:rsid w:val="00360076"/>
    <w:rsid w:val="00361102"/>
    <w:rsid w:val="00361175"/>
    <w:rsid w:val="00361663"/>
    <w:rsid w:val="003619AF"/>
    <w:rsid w:val="00361AEA"/>
    <w:rsid w:val="00362D23"/>
    <w:rsid w:val="00362EFC"/>
    <w:rsid w:val="00362F67"/>
    <w:rsid w:val="003631BB"/>
    <w:rsid w:val="003634C2"/>
    <w:rsid w:val="00363A67"/>
    <w:rsid w:val="00364168"/>
    <w:rsid w:val="0036426C"/>
    <w:rsid w:val="00364310"/>
    <w:rsid w:val="00364865"/>
    <w:rsid w:val="00364D92"/>
    <w:rsid w:val="0036515B"/>
    <w:rsid w:val="00365228"/>
    <w:rsid w:val="00365AC0"/>
    <w:rsid w:val="00365BB7"/>
    <w:rsid w:val="003664C5"/>
    <w:rsid w:val="003667BA"/>
    <w:rsid w:val="0036701A"/>
    <w:rsid w:val="0036740F"/>
    <w:rsid w:val="00367703"/>
    <w:rsid w:val="00367BA5"/>
    <w:rsid w:val="003703E6"/>
    <w:rsid w:val="00370573"/>
    <w:rsid w:val="00370F0E"/>
    <w:rsid w:val="003710C2"/>
    <w:rsid w:val="0037115C"/>
    <w:rsid w:val="00371466"/>
    <w:rsid w:val="00371CE1"/>
    <w:rsid w:val="00371D9E"/>
    <w:rsid w:val="00372616"/>
    <w:rsid w:val="00372B59"/>
    <w:rsid w:val="00372BEF"/>
    <w:rsid w:val="00372F4A"/>
    <w:rsid w:val="003734A3"/>
    <w:rsid w:val="00373A92"/>
    <w:rsid w:val="00373B9C"/>
    <w:rsid w:val="00373D13"/>
    <w:rsid w:val="00373D99"/>
    <w:rsid w:val="00373E82"/>
    <w:rsid w:val="0037408F"/>
    <w:rsid w:val="003745EC"/>
    <w:rsid w:val="003746EB"/>
    <w:rsid w:val="00374746"/>
    <w:rsid w:val="00374A4F"/>
    <w:rsid w:val="00375175"/>
    <w:rsid w:val="00375256"/>
    <w:rsid w:val="00375702"/>
    <w:rsid w:val="00376050"/>
    <w:rsid w:val="00376833"/>
    <w:rsid w:val="00376FEE"/>
    <w:rsid w:val="003778D6"/>
    <w:rsid w:val="00377DDB"/>
    <w:rsid w:val="00380023"/>
    <w:rsid w:val="0038048D"/>
    <w:rsid w:val="0038111F"/>
    <w:rsid w:val="0038130E"/>
    <w:rsid w:val="0038158D"/>
    <w:rsid w:val="00381605"/>
    <w:rsid w:val="00381AF4"/>
    <w:rsid w:val="0038266F"/>
    <w:rsid w:val="00382C6A"/>
    <w:rsid w:val="00383E4C"/>
    <w:rsid w:val="0038401F"/>
    <w:rsid w:val="00384189"/>
    <w:rsid w:val="00384372"/>
    <w:rsid w:val="0038492E"/>
    <w:rsid w:val="00384A77"/>
    <w:rsid w:val="00384B42"/>
    <w:rsid w:val="0038583D"/>
    <w:rsid w:val="003859A6"/>
    <w:rsid w:val="00385AAB"/>
    <w:rsid w:val="00385C97"/>
    <w:rsid w:val="00386439"/>
    <w:rsid w:val="00386BD5"/>
    <w:rsid w:val="00386CE9"/>
    <w:rsid w:val="00386DAF"/>
    <w:rsid w:val="003870A6"/>
    <w:rsid w:val="00387481"/>
    <w:rsid w:val="0038769C"/>
    <w:rsid w:val="00387BD3"/>
    <w:rsid w:val="00390470"/>
    <w:rsid w:val="003915C7"/>
    <w:rsid w:val="003915E2"/>
    <w:rsid w:val="00391B12"/>
    <w:rsid w:val="0039208A"/>
    <w:rsid w:val="00392CE0"/>
    <w:rsid w:val="00392DB0"/>
    <w:rsid w:val="00392E0F"/>
    <w:rsid w:val="00393738"/>
    <w:rsid w:val="00393799"/>
    <w:rsid w:val="003937FA"/>
    <w:rsid w:val="00393935"/>
    <w:rsid w:val="00393EC3"/>
    <w:rsid w:val="00393F48"/>
    <w:rsid w:val="0039413D"/>
    <w:rsid w:val="0039416F"/>
    <w:rsid w:val="003944B1"/>
    <w:rsid w:val="0039450C"/>
    <w:rsid w:val="00394B7B"/>
    <w:rsid w:val="00394EAA"/>
    <w:rsid w:val="00394EB3"/>
    <w:rsid w:val="003951F4"/>
    <w:rsid w:val="00395512"/>
    <w:rsid w:val="003957B2"/>
    <w:rsid w:val="00395873"/>
    <w:rsid w:val="00395D77"/>
    <w:rsid w:val="00396563"/>
    <w:rsid w:val="00396C51"/>
    <w:rsid w:val="00396FE3"/>
    <w:rsid w:val="003971C0"/>
    <w:rsid w:val="00397263"/>
    <w:rsid w:val="00397372"/>
    <w:rsid w:val="00397659"/>
    <w:rsid w:val="003979F2"/>
    <w:rsid w:val="00397D17"/>
    <w:rsid w:val="003A0307"/>
    <w:rsid w:val="003A17B6"/>
    <w:rsid w:val="003A1E7F"/>
    <w:rsid w:val="003A209C"/>
    <w:rsid w:val="003A25AF"/>
    <w:rsid w:val="003A268A"/>
    <w:rsid w:val="003A28A1"/>
    <w:rsid w:val="003A2D71"/>
    <w:rsid w:val="003A2FC2"/>
    <w:rsid w:val="003A35BD"/>
    <w:rsid w:val="003A374A"/>
    <w:rsid w:val="003A3D0E"/>
    <w:rsid w:val="003A3DC2"/>
    <w:rsid w:val="003A3F8C"/>
    <w:rsid w:val="003A490E"/>
    <w:rsid w:val="003A4C28"/>
    <w:rsid w:val="003A514C"/>
    <w:rsid w:val="003A5596"/>
    <w:rsid w:val="003A5C10"/>
    <w:rsid w:val="003A5F9E"/>
    <w:rsid w:val="003A604F"/>
    <w:rsid w:val="003A6B35"/>
    <w:rsid w:val="003A738D"/>
    <w:rsid w:val="003A7391"/>
    <w:rsid w:val="003A7F40"/>
    <w:rsid w:val="003B08DB"/>
    <w:rsid w:val="003B0E89"/>
    <w:rsid w:val="003B1053"/>
    <w:rsid w:val="003B130B"/>
    <w:rsid w:val="003B1B97"/>
    <w:rsid w:val="003B2133"/>
    <w:rsid w:val="003B2216"/>
    <w:rsid w:val="003B27FF"/>
    <w:rsid w:val="003B2984"/>
    <w:rsid w:val="003B29E5"/>
    <w:rsid w:val="003B2A8D"/>
    <w:rsid w:val="003B2FFF"/>
    <w:rsid w:val="003B3499"/>
    <w:rsid w:val="003B34C1"/>
    <w:rsid w:val="003B3528"/>
    <w:rsid w:val="003B455D"/>
    <w:rsid w:val="003B4681"/>
    <w:rsid w:val="003B46CE"/>
    <w:rsid w:val="003B4EBC"/>
    <w:rsid w:val="003B51A4"/>
    <w:rsid w:val="003B5713"/>
    <w:rsid w:val="003B58AE"/>
    <w:rsid w:val="003B5B7B"/>
    <w:rsid w:val="003B5BE1"/>
    <w:rsid w:val="003B5DEC"/>
    <w:rsid w:val="003B5EE8"/>
    <w:rsid w:val="003B60C1"/>
    <w:rsid w:val="003B61FC"/>
    <w:rsid w:val="003B644B"/>
    <w:rsid w:val="003B6EED"/>
    <w:rsid w:val="003B702A"/>
    <w:rsid w:val="003B719D"/>
    <w:rsid w:val="003B7340"/>
    <w:rsid w:val="003B7343"/>
    <w:rsid w:val="003B76A5"/>
    <w:rsid w:val="003B7823"/>
    <w:rsid w:val="003C0304"/>
    <w:rsid w:val="003C03B4"/>
    <w:rsid w:val="003C1179"/>
    <w:rsid w:val="003C1211"/>
    <w:rsid w:val="003C15DA"/>
    <w:rsid w:val="003C1790"/>
    <w:rsid w:val="003C18D3"/>
    <w:rsid w:val="003C1CA8"/>
    <w:rsid w:val="003C206F"/>
    <w:rsid w:val="003C253C"/>
    <w:rsid w:val="003C2644"/>
    <w:rsid w:val="003C26FA"/>
    <w:rsid w:val="003C2A64"/>
    <w:rsid w:val="003C2BFC"/>
    <w:rsid w:val="003C30BB"/>
    <w:rsid w:val="003C32A3"/>
    <w:rsid w:val="003C3F6E"/>
    <w:rsid w:val="003C47E6"/>
    <w:rsid w:val="003C4D42"/>
    <w:rsid w:val="003C51A0"/>
    <w:rsid w:val="003C53B5"/>
    <w:rsid w:val="003C544C"/>
    <w:rsid w:val="003C580D"/>
    <w:rsid w:val="003C59F9"/>
    <w:rsid w:val="003C6363"/>
    <w:rsid w:val="003C6960"/>
    <w:rsid w:val="003C6CC5"/>
    <w:rsid w:val="003C6E0A"/>
    <w:rsid w:val="003C7094"/>
    <w:rsid w:val="003C75A0"/>
    <w:rsid w:val="003C7BB5"/>
    <w:rsid w:val="003D04AB"/>
    <w:rsid w:val="003D09F2"/>
    <w:rsid w:val="003D0CAD"/>
    <w:rsid w:val="003D0E8A"/>
    <w:rsid w:val="003D1D61"/>
    <w:rsid w:val="003D222A"/>
    <w:rsid w:val="003D2B3D"/>
    <w:rsid w:val="003D2D92"/>
    <w:rsid w:val="003D3657"/>
    <w:rsid w:val="003D3AB6"/>
    <w:rsid w:val="003D4E91"/>
    <w:rsid w:val="003D5172"/>
    <w:rsid w:val="003D5874"/>
    <w:rsid w:val="003D5DD7"/>
    <w:rsid w:val="003D6A26"/>
    <w:rsid w:val="003D760E"/>
    <w:rsid w:val="003D7F94"/>
    <w:rsid w:val="003D7FF6"/>
    <w:rsid w:val="003E04FC"/>
    <w:rsid w:val="003E0DFD"/>
    <w:rsid w:val="003E0E0C"/>
    <w:rsid w:val="003E1727"/>
    <w:rsid w:val="003E192B"/>
    <w:rsid w:val="003E1C3A"/>
    <w:rsid w:val="003E2997"/>
    <w:rsid w:val="003E32A1"/>
    <w:rsid w:val="003E33BF"/>
    <w:rsid w:val="003E427D"/>
    <w:rsid w:val="003E4298"/>
    <w:rsid w:val="003E44AC"/>
    <w:rsid w:val="003E4D01"/>
    <w:rsid w:val="003E5701"/>
    <w:rsid w:val="003E58EA"/>
    <w:rsid w:val="003E5F39"/>
    <w:rsid w:val="003E5F59"/>
    <w:rsid w:val="003E5FE7"/>
    <w:rsid w:val="003E613D"/>
    <w:rsid w:val="003E638B"/>
    <w:rsid w:val="003E6450"/>
    <w:rsid w:val="003E65EF"/>
    <w:rsid w:val="003E69AB"/>
    <w:rsid w:val="003E7007"/>
    <w:rsid w:val="003E7250"/>
    <w:rsid w:val="003E7DC0"/>
    <w:rsid w:val="003F0048"/>
    <w:rsid w:val="003F00AF"/>
    <w:rsid w:val="003F07B8"/>
    <w:rsid w:val="003F0EDB"/>
    <w:rsid w:val="003F103D"/>
    <w:rsid w:val="003F103F"/>
    <w:rsid w:val="003F1466"/>
    <w:rsid w:val="003F1C55"/>
    <w:rsid w:val="003F1DED"/>
    <w:rsid w:val="003F1E9F"/>
    <w:rsid w:val="003F2666"/>
    <w:rsid w:val="003F26AA"/>
    <w:rsid w:val="003F29E0"/>
    <w:rsid w:val="003F2EEC"/>
    <w:rsid w:val="003F38B0"/>
    <w:rsid w:val="003F4353"/>
    <w:rsid w:val="003F46CB"/>
    <w:rsid w:val="003F4903"/>
    <w:rsid w:val="003F4ACE"/>
    <w:rsid w:val="003F4DF3"/>
    <w:rsid w:val="003F5783"/>
    <w:rsid w:val="003F6134"/>
    <w:rsid w:val="003F6430"/>
    <w:rsid w:val="003F6432"/>
    <w:rsid w:val="003F74A9"/>
    <w:rsid w:val="003F7C11"/>
    <w:rsid w:val="00400574"/>
    <w:rsid w:val="004015EB"/>
    <w:rsid w:val="00401D2B"/>
    <w:rsid w:val="00401D87"/>
    <w:rsid w:val="00401E11"/>
    <w:rsid w:val="00402481"/>
    <w:rsid w:val="00402565"/>
    <w:rsid w:val="00403665"/>
    <w:rsid w:val="00404105"/>
    <w:rsid w:val="004046D5"/>
    <w:rsid w:val="00404AD8"/>
    <w:rsid w:val="00404E31"/>
    <w:rsid w:val="00404F8A"/>
    <w:rsid w:val="0040587E"/>
    <w:rsid w:val="00405BED"/>
    <w:rsid w:val="00405EB7"/>
    <w:rsid w:val="004061FF"/>
    <w:rsid w:val="004064F8"/>
    <w:rsid w:val="00406504"/>
    <w:rsid w:val="00406BDE"/>
    <w:rsid w:val="00407298"/>
    <w:rsid w:val="00407466"/>
    <w:rsid w:val="004079FE"/>
    <w:rsid w:val="00407E77"/>
    <w:rsid w:val="004105D4"/>
    <w:rsid w:val="0041072E"/>
    <w:rsid w:val="00410AAB"/>
    <w:rsid w:val="00410DA6"/>
    <w:rsid w:val="0041118C"/>
    <w:rsid w:val="004112FD"/>
    <w:rsid w:val="00412522"/>
    <w:rsid w:val="004126A4"/>
    <w:rsid w:val="004126C0"/>
    <w:rsid w:val="00412E12"/>
    <w:rsid w:val="00413060"/>
    <w:rsid w:val="00413AE1"/>
    <w:rsid w:val="00413FBD"/>
    <w:rsid w:val="0041457C"/>
    <w:rsid w:val="00414890"/>
    <w:rsid w:val="004149A7"/>
    <w:rsid w:val="00414D5C"/>
    <w:rsid w:val="004153A9"/>
    <w:rsid w:val="00415CCA"/>
    <w:rsid w:val="00416545"/>
    <w:rsid w:val="0041697C"/>
    <w:rsid w:val="004170D1"/>
    <w:rsid w:val="004174E9"/>
    <w:rsid w:val="00417E36"/>
    <w:rsid w:val="0042052F"/>
    <w:rsid w:val="004209E1"/>
    <w:rsid w:val="00420D58"/>
    <w:rsid w:val="00420DBD"/>
    <w:rsid w:val="00421642"/>
    <w:rsid w:val="00421ACC"/>
    <w:rsid w:val="00421C69"/>
    <w:rsid w:val="00421DCE"/>
    <w:rsid w:val="00421E5F"/>
    <w:rsid w:val="00422174"/>
    <w:rsid w:val="00422377"/>
    <w:rsid w:val="004225E7"/>
    <w:rsid w:val="00422AA5"/>
    <w:rsid w:val="00423121"/>
    <w:rsid w:val="00423B7C"/>
    <w:rsid w:val="004240A0"/>
    <w:rsid w:val="00424624"/>
    <w:rsid w:val="004256D9"/>
    <w:rsid w:val="00425708"/>
    <w:rsid w:val="00425DA6"/>
    <w:rsid w:val="00425F0A"/>
    <w:rsid w:val="0042639F"/>
    <w:rsid w:val="00427119"/>
    <w:rsid w:val="00427385"/>
    <w:rsid w:val="004276F4"/>
    <w:rsid w:val="004279EC"/>
    <w:rsid w:val="00427F58"/>
    <w:rsid w:val="0043022D"/>
    <w:rsid w:val="0043098B"/>
    <w:rsid w:val="00430FD0"/>
    <w:rsid w:val="0043110B"/>
    <w:rsid w:val="00431212"/>
    <w:rsid w:val="0043136E"/>
    <w:rsid w:val="004318B9"/>
    <w:rsid w:val="00431969"/>
    <w:rsid w:val="004319C8"/>
    <w:rsid w:val="00431A94"/>
    <w:rsid w:val="00431CA6"/>
    <w:rsid w:val="00431CB7"/>
    <w:rsid w:val="00431DBB"/>
    <w:rsid w:val="004322A6"/>
    <w:rsid w:val="00432614"/>
    <w:rsid w:val="0043290A"/>
    <w:rsid w:val="004329E7"/>
    <w:rsid w:val="00432C57"/>
    <w:rsid w:val="00432D47"/>
    <w:rsid w:val="004334FB"/>
    <w:rsid w:val="004336A6"/>
    <w:rsid w:val="00434169"/>
    <w:rsid w:val="004341B6"/>
    <w:rsid w:val="00434D32"/>
    <w:rsid w:val="0043561D"/>
    <w:rsid w:val="0043649C"/>
    <w:rsid w:val="00436E08"/>
    <w:rsid w:val="0043760B"/>
    <w:rsid w:val="0043784C"/>
    <w:rsid w:val="00437FEB"/>
    <w:rsid w:val="0044051A"/>
    <w:rsid w:val="00440798"/>
    <w:rsid w:val="0044095C"/>
    <w:rsid w:val="00440D3E"/>
    <w:rsid w:val="00441214"/>
    <w:rsid w:val="004412C7"/>
    <w:rsid w:val="00441498"/>
    <w:rsid w:val="004422FD"/>
    <w:rsid w:val="004425DF"/>
    <w:rsid w:val="0044269E"/>
    <w:rsid w:val="00442764"/>
    <w:rsid w:val="004430F8"/>
    <w:rsid w:val="00443363"/>
    <w:rsid w:val="004434A7"/>
    <w:rsid w:val="00443A5D"/>
    <w:rsid w:val="00443FBB"/>
    <w:rsid w:val="004450A8"/>
    <w:rsid w:val="00445394"/>
    <w:rsid w:val="0044552E"/>
    <w:rsid w:val="00445634"/>
    <w:rsid w:val="004457AF"/>
    <w:rsid w:val="004463FD"/>
    <w:rsid w:val="004468F9"/>
    <w:rsid w:val="00446AFC"/>
    <w:rsid w:val="00446B10"/>
    <w:rsid w:val="00446E41"/>
    <w:rsid w:val="00446EBC"/>
    <w:rsid w:val="00447685"/>
    <w:rsid w:val="004476BD"/>
    <w:rsid w:val="004478F2"/>
    <w:rsid w:val="00447AC9"/>
    <w:rsid w:val="00447C58"/>
    <w:rsid w:val="004502D8"/>
    <w:rsid w:val="004504A0"/>
    <w:rsid w:val="0045058B"/>
    <w:rsid w:val="004505B4"/>
    <w:rsid w:val="00450906"/>
    <w:rsid w:val="00450C18"/>
    <w:rsid w:val="00451540"/>
    <w:rsid w:val="004517FA"/>
    <w:rsid w:val="00451A2C"/>
    <w:rsid w:val="004522DD"/>
    <w:rsid w:val="00452905"/>
    <w:rsid w:val="0045293E"/>
    <w:rsid w:val="00453327"/>
    <w:rsid w:val="00453380"/>
    <w:rsid w:val="0045353E"/>
    <w:rsid w:val="00453CCD"/>
    <w:rsid w:val="00453DAF"/>
    <w:rsid w:val="00453FC2"/>
    <w:rsid w:val="00454AB3"/>
    <w:rsid w:val="00454C52"/>
    <w:rsid w:val="00455020"/>
    <w:rsid w:val="00455062"/>
    <w:rsid w:val="00455077"/>
    <w:rsid w:val="004551C2"/>
    <w:rsid w:val="0045529F"/>
    <w:rsid w:val="00455C0F"/>
    <w:rsid w:val="00455D98"/>
    <w:rsid w:val="004568BC"/>
    <w:rsid w:val="00456B7A"/>
    <w:rsid w:val="00457565"/>
    <w:rsid w:val="004578E7"/>
    <w:rsid w:val="00457A19"/>
    <w:rsid w:val="00457A45"/>
    <w:rsid w:val="00457E1F"/>
    <w:rsid w:val="00460DF5"/>
    <w:rsid w:val="0046189B"/>
    <w:rsid w:val="00461911"/>
    <w:rsid w:val="004621B3"/>
    <w:rsid w:val="0046249A"/>
    <w:rsid w:val="004625E3"/>
    <w:rsid w:val="00462869"/>
    <w:rsid w:val="00462E42"/>
    <w:rsid w:val="00463B46"/>
    <w:rsid w:val="00464008"/>
    <w:rsid w:val="00464113"/>
    <w:rsid w:val="004645CA"/>
    <w:rsid w:val="00464AC3"/>
    <w:rsid w:val="00464E01"/>
    <w:rsid w:val="004656ED"/>
    <w:rsid w:val="00465746"/>
    <w:rsid w:val="0046598B"/>
    <w:rsid w:val="004664D7"/>
    <w:rsid w:val="0046650F"/>
    <w:rsid w:val="0046685B"/>
    <w:rsid w:val="00466937"/>
    <w:rsid w:val="004669F9"/>
    <w:rsid w:val="00466B69"/>
    <w:rsid w:val="00466D4D"/>
    <w:rsid w:val="00467014"/>
    <w:rsid w:val="0046725F"/>
    <w:rsid w:val="0046739D"/>
    <w:rsid w:val="00467E48"/>
    <w:rsid w:val="00470709"/>
    <w:rsid w:val="0047077C"/>
    <w:rsid w:val="00471652"/>
    <w:rsid w:val="0047176B"/>
    <w:rsid w:val="0047178E"/>
    <w:rsid w:val="00471889"/>
    <w:rsid w:val="004721CF"/>
    <w:rsid w:val="00472498"/>
    <w:rsid w:val="0047258B"/>
    <w:rsid w:val="004725F7"/>
    <w:rsid w:val="00472822"/>
    <w:rsid w:val="00472C41"/>
    <w:rsid w:val="00472D79"/>
    <w:rsid w:val="00472E9D"/>
    <w:rsid w:val="004736DF"/>
    <w:rsid w:val="004736F1"/>
    <w:rsid w:val="00473901"/>
    <w:rsid w:val="00473C9F"/>
    <w:rsid w:val="00473F82"/>
    <w:rsid w:val="0047467C"/>
    <w:rsid w:val="00474870"/>
    <w:rsid w:val="00474D12"/>
    <w:rsid w:val="00474F3D"/>
    <w:rsid w:val="00474F9A"/>
    <w:rsid w:val="004751CA"/>
    <w:rsid w:val="0047520F"/>
    <w:rsid w:val="0047522A"/>
    <w:rsid w:val="00475433"/>
    <w:rsid w:val="0047546C"/>
    <w:rsid w:val="004760D9"/>
    <w:rsid w:val="00476624"/>
    <w:rsid w:val="004767A4"/>
    <w:rsid w:val="00477029"/>
    <w:rsid w:val="0047735C"/>
    <w:rsid w:val="00477595"/>
    <w:rsid w:val="00480260"/>
    <w:rsid w:val="0048061C"/>
    <w:rsid w:val="00480D25"/>
    <w:rsid w:val="00480F37"/>
    <w:rsid w:val="00481844"/>
    <w:rsid w:val="00481ADD"/>
    <w:rsid w:val="00482916"/>
    <w:rsid w:val="00482C8A"/>
    <w:rsid w:val="004831FF"/>
    <w:rsid w:val="004834AC"/>
    <w:rsid w:val="004834ED"/>
    <w:rsid w:val="00483FAB"/>
    <w:rsid w:val="00484490"/>
    <w:rsid w:val="00484727"/>
    <w:rsid w:val="00485298"/>
    <w:rsid w:val="0048570A"/>
    <w:rsid w:val="00485CAA"/>
    <w:rsid w:val="00485E32"/>
    <w:rsid w:val="004863FA"/>
    <w:rsid w:val="0048675B"/>
    <w:rsid w:val="00486A45"/>
    <w:rsid w:val="00486B09"/>
    <w:rsid w:val="0048707C"/>
    <w:rsid w:val="0048730D"/>
    <w:rsid w:val="00487715"/>
    <w:rsid w:val="00487C8E"/>
    <w:rsid w:val="004907A7"/>
    <w:rsid w:val="00490E2D"/>
    <w:rsid w:val="0049156F"/>
    <w:rsid w:val="004915CB"/>
    <w:rsid w:val="00491946"/>
    <w:rsid w:val="00492E97"/>
    <w:rsid w:val="0049313B"/>
    <w:rsid w:val="00493697"/>
    <w:rsid w:val="004939C8"/>
    <w:rsid w:val="00493B20"/>
    <w:rsid w:val="00493F72"/>
    <w:rsid w:val="0049475F"/>
    <w:rsid w:val="004947C9"/>
    <w:rsid w:val="00494D54"/>
    <w:rsid w:val="00494D67"/>
    <w:rsid w:val="00495341"/>
    <w:rsid w:val="00495EDD"/>
    <w:rsid w:val="004964C5"/>
    <w:rsid w:val="00496817"/>
    <w:rsid w:val="00496D9F"/>
    <w:rsid w:val="0049701E"/>
    <w:rsid w:val="004970B4"/>
    <w:rsid w:val="004975F7"/>
    <w:rsid w:val="004979B4"/>
    <w:rsid w:val="00497E65"/>
    <w:rsid w:val="00497F13"/>
    <w:rsid w:val="004A0653"/>
    <w:rsid w:val="004A06DB"/>
    <w:rsid w:val="004A138E"/>
    <w:rsid w:val="004A1D15"/>
    <w:rsid w:val="004A1DD3"/>
    <w:rsid w:val="004A1F42"/>
    <w:rsid w:val="004A233F"/>
    <w:rsid w:val="004A23BF"/>
    <w:rsid w:val="004A26E8"/>
    <w:rsid w:val="004A2B2C"/>
    <w:rsid w:val="004A2E46"/>
    <w:rsid w:val="004A3128"/>
    <w:rsid w:val="004A325E"/>
    <w:rsid w:val="004A3615"/>
    <w:rsid w:val="004A3B07"/>
    <w:rsid w:val="004A4074"/>
    <w:rsid w:val="004A464E"/>
    <w:rsid w:val="004A479E"/>
    <w:rsid w:val="004A4E1A"/>
    <w:rsid w:val="004A506F"/>
    <w:rsid w:val="004A5740"/>
    <w:rsid w:val="004A5939"/>
    <w:rsid w:val="004A5BA4"/>
    <w:rsid w:val="004A615C"/>
    <w:rsid w:val="004A62C6"/>
    <w:rsid w:val="004A6600"/>
    <w:rsid w:val="004A6786"/>
    <w:rsid w:val="004A6FE8"/>
    <w:rsid w:val="004A71E6"/>
    <w:rsid w:val="004A7B86"/>
    <w:rsid w:val="004A7CB7"/>
    <w:rsid w:val="004A7F18"/>
    <w:rsid w:val="004B05AA"/>
    <w:rsid w:val="004B06E5"/>
    <w:rsid w:val="004B0938"/>
    <w:rsid w:val="004B1240"/>
    <w:rsid w:val="004B1305"/>
    <w:rsid w:val="004B1A67"/>
    <w:rsid w:val="004B1B76"/>
    <w:rsid w:val="004B1F45"/>
    <w:rsid w:val="004B2050"/>
    <w:rsid w:val="004B2542"/>
    <w:rsid w:val="004B2822"/>
    <w:rsid w:val="004B3CA0"/>
    <w:rsid w:val="004B3F3C"/>
    <w:rsid w:val="004B47E9"/>
    <w:rsid w:val="004B4B34"/>
    <w:rsid w:val="004B4B7E"/>
    <w:rsid w:val="004B4BE3"/>
    <w:rsid w:val="004B4D4C"/>
    <w:rsid w:val="004B5264"/>
    <w:rsid w:val="004B574C"/>
    <w:rsid w:val="004B5DE5"/>
    <w:rsid w:val="004B6DA3"/>
    <w:rsid w:val="004B70D4"/>
    <w:rsid w:val="004B73BA"/>
    <w:rsid w:val="004C0351"/>
    <w:rsid w:val="004C03E7"/>
    <w:rsid w:val="004C0416"/>
    <w:rsid w:val="004C0D66"/>
    <w:rsid w:val="004C188D"/>
    <w:rsid w:val="004C1968"/>
    <w:rsid w:val="004C1B4E"/>
    <w:rsid w:val="004C1C79"/>
    <w:rsid w:val="004C2185"/>
    <w:rsid w:val="004C26B2"/>
    <w:rsid w:val="004C3240"/>
    <w:rsid w:val="004C41AB"/>
    <w:rsid w:val="004C4469"/>
    <w:rsid w:val="004C4BB3"/>
    <w:rsid w:val="004C4E8E"/>
    <w:rsid w:val="004C60BE"/>
    <w:rsid w:val="004C61E8"/>
    <w:rsid w:val="004C665E"/>
    <w:rsid w:val="004C6BFF"/>
    <w:rsid w:val="004C6E4B"/>
    <w:rsid w:val="004C7664"/>
    <w:rsid w:val="004C7D19"/>
    <w:rsid w:val="004C7D36"/>
    <w:rsid w:val="004C7E80"/>
    <w:rsid w:val="004D1019"/>
    <w:rsid w:val="004D11B6"/>
    <w:rsid w:val="004D129A"/>
    <w:rsid w:val="004D1B62"/>
    <w:rsid w:val="004D203A"/>
    <w:rsid w:val="004D2748"/>
    <w:rsid w:val="004D28C8"/>
    <w:rsid w:val="004D2927"/>
    <w:rsid w:val="004D2976"/>
    <w:rsid w:val="004D2A4F"/>
    <w:rsid w:val="004D313E"/>
    <w:rsid w:val="004D341D"/>
    <w:rsid w:val="004D346D"/>
    <w:rsid w:val="004D361D"/>
    <w:rsid w:val="004D380B"/>
    <w:rsid w:val="004D3B3D"/>
    <w:rsid w:val="004D497A"/>
    <w:rsid w:val="004D4C0A"/>
    <w:rsid w:val="004D4FDC"/>
    <w:rsid w:val="004D5274"/>
    <w:rsid w:val="004D5911"/>
    <w:rsid w:val="004D5F44"/>
    <w:rsid w:val="004D636A"/>
    <w:rsid w:val="004D6E34"/>
    <w:rsid w:val="004D70AC"/>
    <w:rsid w:val="004D7204"/>
    <w:rsid w:val="004E021E"/>
    <w:rsid w:val="004E02DC"/>
    <w:rsid w:val="004E0476"/>
    <w:rsid w:val="004E0598"/>
    <w:rsid w:val="004E07A2"/>
    <w:rsid w:val="004E09D4"/>
    <w:rsid w:val="004E0B5E"/>
    <w:rsid w:val="004E0BBA"/>
    <w:rsid w:val="004E0FCC"/>
    <w:rsid w:val="004E197B"/>
    <w:rsid w:val="004E19C7"/>
    <w:rsid w:val="004E26E1"/>
    <w:rsid w:val="004E2821"/>
    <w:rsid w:val="004E2C83"/>
    <w:rsid w:val="004E323A"/>
    <w:rsid w:val="004E34D4"/>
    <w:rsid w:val="004E3501"/>
    <w:rsid w:val="004E370A"/>
    <w:rsid w:val="004E37E0"/>
    <w:rsid w:val="004E426C"/>
    <w:rsid w:val="004E454E"/>
    <w:rsid w:val="004E4561"/>
    <w:rsid w:val="004E4CA9"/>
    <w:rsid w:val="004E4EC4"/>
    <w:rsid w:val="004E575A"/>
    <w:rsid w:val="004E5B76"/>
    <w:rsid w:val="004E5EE8"/>
    <w:rsid w:val="004E6304"/>
    <w:rsid w:val="004E6887"/>
    <w:rsid w:val="004E6B9A"/>
    <w:rsid w:val="004E6BD3"/>
    <w:rsid w:val="004E716C"/>
    <w:rsid w:val="004E7E11"/>
    <w:rsid w:val="004F0419"/>
    <w:rsid w:val="004F090C"/>
    <w:rsid w:val="004F0B71"/>
    <w:rsid w:val="004F0BAA"/>
    <w:rsid w:val="004F18B4"/>
    <w:rsid w:val="004F18B9"/>
    <w:rsid w:val="004F1CEB"/>
    <w:rsid w:val="004F218F"/>
    <w:rsid w:val="004F28B6"/>
    <w:rsid w:val="004F2B36"/>
    <w:rsid w:val="004F32E5"/>
    <w:rsid w:val="004F3328"/>
    <w:rsid w:val="004F33F5"/>
    <w:rsid w:val="004F38AE"/>
    <w:rsid w:val="004F4D44"/>
    <w:rsid w:val="004F4FA9"/>
    <w:rsid w:val="004F5597"/>
    <w:rsid w:val="004F6312"/>
    <w:rsid w:val="004F63C3"/>
    <w:rsid w:val="004F6B4D"/>
    <w:rsid w:val="004F7077"/>
    <w:rsid w:val="004F76CF"/>
    <w:rsid w:val="004F7903"/>
    <w:rsid w:val="004F7F2A"/>
    <w:rsid w:val="0050009B"/>
    <w:rsid w:val="0050016F"/>
    <w:rsid w:val="005003A9"/>
    <w:rsid w:val="00500833"/>
    <w:rsid w:val="0050130B"/>
    <w:rsid w:val="00501379"/>
    <w:rsid w:val="005013BD"/>
    <w:rsid w:val="005017AA"/>
    <w:rsid w:val="00501AAD"/>
    <w:rsid w:val="00501DE5"/>
    <w:rsid w:val="0050200A"/>
    <w:rsid w:val="00502379"/>
    <w:rsid w:val="0050285E"/>
    <w:rsid w:val="00502B60"/>
    <w:rsid w:val="00502C5E"/>
    <w:rsid w:val="005035A2"/>
    <w:rsid w:val="00503D64"/>
    <w:rsid w:val="00503DF8"/>
    <w:rsid w:val="005041E3"/>
    <w:rsid w:val="00504B63"/>
    <w:rsid w:val="00504C46"/>
    <w:rsid w:val="005054D4"/>
    <w:rsid w:val="005057DC"/>
    <w:rsid w:val="00505B75"/>
    <w:rsid w:val="00506358"/>
    <w:rsid w:val="00506C9C"/>
    <w:rsid w:val="00507607"/>
    <w:rsid w:val="00507E6F"/>
    <w:rsid w:val="005108ED"/>
    <w:rsid w:val="005108FD"/>
    <w:rsid w:val="00510B4C"/>
    <w:rsid w:val="0051120A"/>
    <w:rsid w:val="005121E0"/>
    <w:rsid w:val="0051381F"/>
    <w:rsid w:val="00513AFF"/>
    <w:rsid w:val="00513D2B"/>
    <w:rsid w:val="00514773"/>
    <w:rsid w:val="0051483A"/>
    <w:rsid w:val="00514CB9"/>
    <w:rsid w:val="00515074"/>
    <w:rsid w:val="00515871"/>
    <w:rsid w:val="00516FBF"/>
    <w:rsid w:val="00517376"/>
    <w:rsid w:val="005177A7"/>
    <w:rsid w:val="005177F0"/>
    <w:rsid w:val="00517D93"/>
    <w:rsid w:val="00517F68"/>
    <w:rsid w:val="005201B2"/>
    <w:rsid w:val="005204CD"/>
    <w:rsid w:val="00521273"/>
    <w:rsid w:val="00521B12"/>
    <w:rsid w:val="00521D36"/>
    <w:rsid w:val="005221E8"/>
    <w:rsid w:val="00522832"/>
    <w:rsid w:val="005238F2"/>
    <w:rsid w:val="005239C0"/>
    <w:rsid w:val="00523CBE"/>
    <w:rsid w:val="00524919"/>
    <w:rsid w:val="00524ECF"/>
    <w:rsid w:val="00525808"/>
    <w:rsid w:val="00525BCC"/>
    <w:rsid w:val="00525C7B"/>
    <w:rsid w:val="00525CA1"/>
    <w:rsid w:val="00525D27"/>
    <w:rsid w:val="0052634F"/>
    <w:rsid w:val="005265C7"/>
    <w:rsid w:val="005266D5"/>
    <w:rsid w:val="005268DB"/>
    <w:rsid w:val="0052699D"/>
    <w:rsid w:val="00526B6C"/>
    <w:rsid w:val="00526C59"/>
    <w:rsid w:val="00526D72"/>
    <w:rsid w:val="005274E5"/>
    <w:rsid w:val="005275EA"/>
    <w:rsid w:val="005275FC"/>
    <w:rsid w:val="00527649"/>
    <w:rsid w:val="005301A6"/>
    <w:rsid w:val="005302CB"/>
    <w:rsid w:val="0053090B"/>
    <w:rsid w:val="00530EC1"/>
    <w:rsid w:val="00530F90"/>
    <w:rsid w:val="00530FAB"/>
    <w:rsid w:val="00530FBA"/>
    <w:rsid w:val="005311F5"/>
    <w:rsid w:val="00531BB7"/>
    <w:rsid w:val="00531F04"/>
    <w:rsid w:val="005320DF"/>
    <w:rsid w:val="00534077"/>
    <w:rsid w:val="00534129"/>
    <w:rsid w:val="00534288"/>
    <w:rsid w:val="0053476B"/>
    <w:rsid w:val="00534903"/>
    <w:rsid w:val="00534AC7"/>
    <w:rsid w:val="00534EE6"/>
    <w:rsid w:val="00534F81"/>
    <w:rsid w:val="0053521F"/>
    <w:rsid w:val="00535261"/>
    <w:rsid w:val="0053536B"/>
    <w:rsid w:val="00535569"/>
    <w:rsid w:val="00535D63"/>
    <w:rsid w:val="00536BB7"/>
    <w:rsid w:val="005379A9"/>
    <w:rsid w:val="00540069"/>
    <w:rsid w:val="005400FF"/>
    <w:rsid w:val="0054073F"/>
    <w:rsid w:val="00541BB7"/>
    <w:rsid w:val="00541F1E"/>
    <w:rsid w:val="00542A04"/>
    <w:rsid w:val="00542CC2"/>
    <w:rsid w:val="005434E3"/>
    <w:rsid w:val="005438C1"/>
    <w:rsid w:val="00543DE2"/>
    <w:rsid w:val="00544759"/>
    <w:rsid w:val="00544AC0"/>
    <w:rsid w:val="005457C7"/>
    <w:rsid w:val="00546E1C"/>
    <w:rsid w:val="00547146"/>
    <w:rsid w:val="00550678"/>
    <w:rsid w:val="0055074A"/>
    <w:rsid w:val="0055090B"/>
    <w:rsid w:val="00550CEB"/>
    <w:rsid w:val="00550FA1"/>
    <w:rsid w:val="00550FAC"/>
    <w:rsid w:val="00550FEF"/>
    <w:rsid w:val="00551013"/>
    <w:rsid w:val="005515CB"/>
    <w:rsid w:val="00551749"/>
    <w:rsid w:val="0055178F"/>
    <w:rsid w:val="005519E5"/>
    <w:rsid w:val="00551D5C"/>
    <w:rsid w:val="00552246"/>
    <w:rsid w:val="005524E4"/>
    <w:rsid w:val="005525D3"/>
    <w:rsid w:val="00552669"/>
    <w:rsid w:val="00552E49"/>
    <w:rsid w:val="00553102"/>
    <w:rsid w:val="00553A48"/>
    <w:rsid w:val="00555B2D"/>
    <w:rsid w:val="0055617E"/>
    <w:rsid w:val="005563E3"/>
    <w:rsid w:val="005563EF"/>
    <w:rsid w:val="005564BF"/>
    <w:rsid w:val="005565E7"/>
    <w:rsid w:val="005570F1"/>
    <w:rsid w:val="0055738A"/>
    <w:rsid w:val="00557501"/>
    <w:rsid w:val="005577CC"/>
    <w:rsid w:val="00557AE3"/>
    <w:rsid w:val="00557BFE"/>
    <w:rsid w:val="00557C48"/>
    <w:rsid w:val="00557CCC"/>
    <w:rsid w:val="0056096F"/>
    <w:rsid w:val="00560B8D"/>
    <w:rsid w:val="00560C66"/>
    <w:rsid w:val="0056134C"/>
    <w:rsid w:val="0056188D"/>
    <w:rsid w:val="00561892"/>
    <w:rsid w:val="0056202F"/>
    <w:rsid w:val="00562F2C"/>
    <w:rsid w:val="00563B5B"/>
    <w:rsid w:val="005641FD"/>
    <w:rsid w:val="0056423F"/>
    <w:rsid w:val="005648D6"/>
    <w:rsid w:val="005649AF"/>
    <w:rsid w:val="00565F82"/>
    <w:rsid w:val="005666A5"/>
    <w:rsid w:val="005666BE"/>
    <w:rsid w:val="00566AB2"/>
    <w:rsid w:val="00566BB7"/>
    <w:rsid w:val="00566F0B"/>
    <w:rsid w:val="005675E8"/>
    <w:rsid w:val="0056787F"/>
    <w:rsid w:val="00567989"/>
    <w:rsid w:val="00567BF7"/>
    <w:rsid w:val="00570962"/>
    <w:rsid w:val="00570A03"/>
    <w:rsid w:val="00570E23"/>
    <w:rsid w:val="005710D4"/>
    <w:rsid w:val="00571163"/>
    <w:rsid w:val="00571187"/>
    <w:rsid w:val="0057134F"/>
    <w:rsid w:val="00571ADA"/>
    <w:rsid w:val="00571D14"/>
    <w:rsid w:val="005720F6"/>
    <w:rsid w:val="00572161"/>
    <w:rsid w:val="0057229D"/>
    <w:rsid w:val="005727E4"/>
    <w:rsid w:val="00573222"/>
    <w:rsid w:val="0057339B"/>
    <w:rsid w:val="00573525"/>
    <w:rsid w:val="00573625"/>
    <w:rsid w:val="005739F7"/>
    <w:rsid w:val="00573AE0"/>
    <w:rsid w:val="00574203"/>
    <w:rsid w:val="0057431C"/>
    <w:rsid w:val="00574D18"/>
    <w:rsid w:val="00575300"/>
    <w:rsid w:val="005759FA"/>
    <w:rsid w:val="005772B9"/>
    <w:rsid w:val="0057763F"/>
    <w:rsid w:val="00577830"/>
    <w:rsid w:val="00577F78"/>
    <w:rsid w:val="00580223"/>
    <w:rsid w:val="005804A9"/>
    <w:rsid w:val="005805CE"/>
    <w:rsid w:val="0058077F"/>
    <w:rsid w:val="00580AEA"/>
    <w:rsid w:val="00581143"/>
    <w:rsid w:val="00581766"/>
    <w:rsid w:val="00582C00"/>
    <w:rsid w:val="00582DBB"/>
    <w:rsid w:val="0058352B"/>
    <w:rsid w:val="00583AE2"/>
    <w:rsid w:val="00583BE0"/>
    <w:rsid w:val="00583C51"/>
    <w:rsid w:val="00583C74"/>
    <w:rsid w:val="00584246"/>
    <w:rsid w:val="00584595"/>
    <w:rsid w:val="0058459A"/>
    <w:rsid w:val="00584E99"/>
    <w:rsid w:val="00584FE2"/>
    <w:rsid w:val="00585093"/>
    <w:rsid w:val="00585B01"/>
    <w:rsid w:val="00585BEC"/>
    <w:rsid w:val="00585DF0"/>
    <w:rsid w:val="00585EEF"/>
    <w:rsid w:val="00586001"/>
    <w:rsid w:val="00586209"/>
    <w:rsid w:val="005867B8"/>
    <w:rsid w:val="0058692E"/>
    <w:rsid w:val="00586AE8"/>
    <w:rsid w:val="00586EC7"/>
    <w:rsid w:val="00587C93"/>
    <w:rsid w:val="00587D7E"/>
    <w:rsid w:val="00590134"/>
    <w:rsid w:val="005902BE"/>
    <w:rsid w:val="00590D29"/>
    <w:rsid w:val="00590DBF"/>
    <w:rsid w:val="00591C8A"/>
    <w:rsid w:val="00592589"/>
    <w:rsid w:val="0059296F"/>
    <w:rsid w:val="00592ADD"/>
    <w:rsid w:val="00592B75"/>
    <w:rsid w:val="00593B83"/>
    <w:rsid w:val="00593E77"/>
    <w:rsid w:val="00593E9A"/>
    <w:rsid w:val="00594039"/>
    <w:rsid w:val="0059422A"/>
    <w:rsid w:val="00594413"/>
    <w:rsid w:val="005949E9"/>
    <w:rsid w:val="0059525F"/>
    <w:rsid w:val="0059531F"/>
    <w:rsid w:val="00595391"/>
    <w:rsid w:val="00595CF0"/>
    <w:rsid w:val="00595DC2"/>
    <w:rsid w:val="005964EC"/>
    <w:rsid w:val="005964FF"/>
    <w:rsid w:val="0059672E"/>
    <w:rsid w:val="00596B56"/>
    <w:rsid w:val="00596CFF"/>
    <w:rsid w:val="00596FA4"/>
    <w:rsid w:val="00596FA5"/>
    <w:rsid w:val="00597A54"/>
    <w:rsid w:val="00597ABA"/>
    <w:rsid w:val="00597F71"/>
    <w:rsid w:val="00597F85"/>
    <w:rsid w:val="005A01C1"/>
    <w:rsid w:val="005A04DE"/>
    <w:rsid w:val="005A06B7"/>
    <w:rsid w:val="005A07F8"/>
    <w:rsid w:val="005A092F"/>
    <w:rsid w:val="005A131A"/>
    <w:rsid w:val="005A16B4"/>
    <w:rsid w:val="005A19F5"/>
    <w:rsid w:val="005A1C24"/>
    <w:rsid w:val="005A291F"/>
    <w:rsid w:val="005A4B27"/>
    <w:rsid w:val="005A4F18"/>
    <w:rsid w:val="005A5B3E"/>
    <w:rsid w:val="005A5BFC"/>
    <w:rsid w:val="005A6561"/>
    <w:rsid w:val="005A65E8"/>
    <w:rsid w:val="005A75E1"/>
    <w:rsid w:val="005A786E"/>
    <w:rsid w:val="005A7F55"/>
    <w:rsid w:val="005B14A0"/>
    <w:rsid w:val="005B1710"/>
    <w:rsid w:val="005B1B18"/>
    <w:rsid w:val="005B1E17"/>
    <w:rsid w:val="005B1FF6"/>
    <w:rsid w:val="005B2AF0"/>
    <w:rsid w:val="005B337B"/>
    <w:rsid w:val="005B34DA"/>
    <w:rsid w:val="005B39C5"/>
    <w:rsid w:val="005B441A"/>
    <w:rsid w:val="005B4C56"/>
    <w:rsid w:val="005B4CE3"/>
    <w:rsid w:val="005B4EED"/>
    <w:rsid w:val="005B5305"/>
    <w:rsid w:val="005B56EB"/>
    <w:rsid w:val="005B6295"/>
    <w:rsid w:val="005B6C7C"/>
    <w:rsid w:val="005B778D"/>
    <w:rsid w:val="005B7F15"/>
    <w:rsid w:val="005C00A2"/>
    <w:rsid w:val="005C0537"/>
    <w:rsid w:val="005C07C0"/>
    <w:rsid w:val="005C08C7"/>
    <w:rsid w:val="005C12FC"/>
    <w:rsid w:val="005C1442"/>
    <w:rsid w:val="005C1448"/>
    <w:rsid w:val="005C18BD"/>
    <w:rsid w:val="005C1A47"/>
    <w:rsid w:val="005C206D"/>
    <w:rsid w:val="005C20BE"/>
    <w:rsid w:val="005C2206"/>
    <w:rsid w:val="005C2317"/>
    <w:rsid w:val="005C27B7"/>
    <w:rsid w:val="005C2872"/>
    <w:rsid w:val="005C2D95"/>
    <w:rsid w:val="005C326B"/>
    <w:rsid w:val="005C3315"/>
    <w:rsid w:val="005C359D"/>
    <w:rsid w:val="005C3A1F"/>
    <w:rsid w:val="005C3B87"/>
    <w:rsid w:val="005C3CF2"/>
    <w:rsid w:val="005C41EF"/>
    <w:rsid w:val="005C4C63"/>
    <w:rsid w:val="005C4CF0"/>
    <w:rsid w:val="005C50BA"/>
    <w:rsid w:val="005C5964"/>
    <w:rsid w:val="005C61C9"/>
    <w:rsid w:val="005C6553"/>
    <w:rsid w:val="005C6A03"/>
    <w:rsid w:val="005C7366"/>
    <w:rsid w:val="005D0152"/>
    <w:rsid w:val="005D02ED"/>
    <w:rsid w:val="005D112B"/>
    <w:rsid w:val="005D165E"/>
    <w:rsid w:val="005D1689"/>
    <w:rsid w:val="005D335E"/>
    <w:rsid w:val="005D38E2"/>
    <w:rsid w:val="005D4500"/>
    <w:rsid w:val="005D4640"/>
    <w:rsid w:val="005D480E"/>
    <w:rsid w:val="005D4F7F"/>
    <w:rsid w:val="005D599E"/>
    <w:rsid w:val="005D5CF7"/>
    <w:rsid w:val="005D5D50"/>
    <w:rsid w:val="005D5E27"/>
    <w:rsid w:val="005D6266"/>
    <w:rsid w:val="005D6814"/>
    <w:rsid w:val="005D6CA4"/>
    <w:rsid w:val="005D6CC8"/>
    <w:rsid w:val="005D6F30"/>
    <w:rsid w:val="005D717B"/>
    <w:rsid w:val="005D771F"/>
    <w:rsid w:val="005D7AFE"/>
    <w:rsid w:val="005D7C93"/>
    <w:rsid w:val="005D7E1D"/>
    <w:rsid w:val="005D7F84"/>
    <w:rsid w:val="005D7FE8"/>
    <w:rsid w:val="005D7FFD"/>
    <w:rsid w:val="005E0448"/>
    <w:rsid w:val="005E093C"/>
    <w:rsid w:val="005E1EA0"/>
    <w:rsid w:val="005E232B"/>
    <w:rsid w:val="005E2662"/>
    <w:rsid w:val="005E315D"/>
    <w:rsid w:val="005E3278"/>
    <w:rsid w:val="005E3993"/>
    <w:rsid w:val="005E40BB"/>
    <w:rsid w:val="005E43FF"/>
    <w:rsid w:val="005E461B"/>
    <w:rsid w:val="005E469E"/>
    <w:rsid w:val="005E4EF7"/>
    <w:rsid w:val="005E4F74"/>
    <w:rsid w:val="005E5243"/>
    <w:rsid w:val="005E5978"/>
    <w:rsid w:val="005E5DDB"/>
    <w:rsid w:val="005E6218"/>
    <w:rsid w:val="005E6993"/>
    <w:rsid w:val="005E6A97"/>
    <w:rsid w:val="005E7303"/>
    <w:rsid w:val="005E7413"/>
    <w:rsid w:val="005E7857"/>
    <w:rsid w:val="005E7B12"/>
    <w:rsid w:val="005F087D"/>
    <w:rsid w:val="005F0BF9"/>
    <w:rsid w:val="005F1522"/>
    <w:rsid w:val="005F19CB"/>
    <w:rsid w:val="005F1A47"/>
    <w:rsid w:val="005F1FC3"/>
    <w:rsid w:val="005F2580"/>
    <w:rsid w:val="005F2A3E"/>
    <w:rsid w:val="005F2A56"/>
    <w:rsid w:val="005F2C88"/>
    <w:rsid w:val="005F2CF4"/>
    <w:rsid w:val="005F342F"/>
    <w:rsid w:val="005F4160"/>
    <w:rsid w:val="005F4413"/>
    <w:rsid w:val="005F5C1E"/>
    <w:rsid w:val="005F69A8"/>
    <w:rsid w:val="005F6DE7"/>
    <w:rsid w:val="005F728F"/>
    <w:rsid w:val="005F7989"/>
    <w:rsid w:val="006006AF"/>
    <w:rsid w:val="006006D2"/>
    <w:rsid w:val="00600E6D"/>
    <w:rsid w:val="0060101F"/>
    <w:rsid w:val="00601213"/>
    <w:rsid w:val="00601249"/>
    <w:rsid w:val="006012F9"/>
    <w:rsid w:val="006015DD"/>
    <w:rsid w:val="00601875"/>
    <w:rsid w:val="00601AFC"/>
    <w:rsid w:val="00602673"/>
    <w:rsid w:val="0060273A"/>
    <w:rsid w:val="0060302C"/>
    <w:rsid w:val="00603075"/>
    <w:rsid w:val="0060337E"/>
    <w:rsid w:val="006038AB"/>
    <w:rsid w:val="00603C81"/>
    <w:rsid w:val="00603DA9"/>
    <w:rsid w:val="00603F1F"/>
    <w:rsid w:val="00604001"/>
    <w:rsid w:val="006040BA"/>
    <w:rsid w:val="00604712"/>
    <w:rsid w:val="00604B5F"/>
    <w:rsid w:val="00604BA9"/>
    <w:rsid w:val="00606997"/>
    <w:rsid w:val="00606EC4"/>
    <w:rsid w:val="00607034"/>
    <w:rsid w:val="006074F1"/>
    <w:rsid w:val="00607581"/>
    <w:rsid w:val="006078FE"/>
    <w:rsid w:val="00607E34"/>
    <w:rsid w:val="00607FCD"/>
    <w:rsid w:val="0061008C"/>
    <w:rsid w:val="00610547"/>
    <w:rsid w:val="00610D37"/>
    <w:rsid w:val="00611210"/>
    <w:rsid w:val="00611233"/>
    <w:rsid w:val="006112DE"/>
    <w:rsid w:val="006119AD"/>
    <w:rsid w:val="00611D8A"/>
    <w:rsid w:val="00611EC9"/>
    <w:rsid w:val="006128CF"/>
    <w:rsid w:val="00612A32"/>
    <w:rsid w:val="00612B87"/>
    <w:rsid w:val="00612C15"/>
    <w:rsid w:val="00613013"/>
    <w:rsid w:val="00613877"/>
    <w:rsid w:val="00614056"/>
    <w:rsid w:val="00614239"/>
    <w:rsid w:val="0061459D"/>
    <w:rsid w:val="0061493F"/>
    <w:rsid w:val="006149CF"/>
    <w:rsid w:val="00615593"/>
    <w:rsid w:val="0061604A"/>
    <w:rsid w:val="006163F7"/>
    <w:rsid w:val="0061648D"/>
    <w:rsid w:val="006164F0"/>
    <w:rsid w:val="00617026"/>
    <w:rsid w:val="006174FC"/>
    <w:rsid w:val="00617570"/>
    <w:rsid w:val="006175F1"/>
    <w:rsid w:val="00617840"/>
    <w:rsid w:val="0061794A"/>
    <w:rsid w:val="0062010B"/>
    <w:rsid w:val="00620919"/>
    <w:rsid w:val="00620EDB"/>
    <w:rsid w:val="00620FD5"/>
    <w:rsid w:val="00621365"/>
    <w:rsid w:val="00621EC1"/>
    <w:rsid w:val="00622033"/>
    <w:rsid w:val="00622117"/>
    <w:rsid w:val="0062232E"/>
    <w:rsid w:val="0062288F"/>
    <w:rsid w:val="00622B3E"/>
    <w:rsid w:val="00622C25"/>
    <w:rsid w:val="00622CB6"/>
    <w:rsid w:val="00622D6C"/>
    <w:rsid w:val="006231DE"/>
    <w:rsid w:val="006234C6"/>
    <w:rsid w:val="006234F4"/>
    <w:rsid w:val="006243DA"/>
    <w:rsid w:val="006257FE"/>
    <w:rsid w:val="00625985"/>
    <w:rsid w:val="00625A19"/>
    <w:rsid w:val="0062620E"/>
    <w:rsid w:val="0062699D"/>
    <w:rsid w:val="00626CBE"/>
    <w:rsid w:val="00626CDD"/>
    <w:rsid w:val="0062719A"/>
    <w:rsid w:val="00627249"/>
    <w:rsid w:val="006275F6"/>
    <w:rsid w:val="00627A14"/>
    <w:rsid w:val="00627C1A"/>
    <w:rsid w:val="00627C8C"/>
    <w:rsid w:val="00627D0C"/>
    <w:rsid w:val="006307CF"/>
    <w:rsid w:val="00630FE3"/>
    <w:rsid w:val="00630FE9"/>
    <w:rsid w:val="006312FA"/>
    <w:rsid w:val="00631755"/>
    <w:rsid w:val="0063249A"/>
    <w:rsid w:val="00632956"/>
    <w:rsid w:val="00632E1F"/>
    <w:rsid w:val="00632EE6"/>
    <w:rsid w:val="006339AC"/>
    <w:rsid w:val="00634ACF"/>
    <w:rsid w:val="00635239"/>
    <w:rsid w:val="0063588A"/>
    <w:rsid w:val="00635CB7"/>
    <w:rsid w:val="00635DFA"/>
    <w:rsid w:val="006360F0"/>
    <w:rsid w:val="0063618E"/>
    <w:rsid w:val="00636A3E"/>
    <w:rsid w:val="00636C51"/>
    <w:rsid w:val="00637121"/>
    <w:rsid w:val="0063755D"/>
    <w:rsid w:val="00637950"/>
    <w:rsid w:val="00637B0B"/>
    <w:rsid w:val="00637DCA"/>
    <w:rsid w:val="006409BB"/>
    <w:rsid w:val="00640F88"/>
    <w:rsid w:val="0064150D"/>
    <w:rsid w:val="00641841"/>
    <w:rsid w:val="00641A6F"/>
    <w:rsid w:val="00641C84"/>
    <w:rsid w:val="0064204E"/>
    <w:rsid w:val="006422FC"/>
    <w:rsid w:val="006426D9"/>
    <w:rsid w:val="00643463"/>
    <w:rsid w:val="006439FD"/>
    <w:rsid w:val="00643CD9"/>
    <w:rsid w:val="00644383"/>
    <w:rsid w:val="00644825"/>
    <w:rsid w:val="00644E11"/>
    <w:rsid w:val="00645128"/>
    <w:rsid w:val="00645264"/>
    <w:rsid w:val="00645522"/>
    <w:rsid w:val="00645C30"/>
    <w:rsid w:val="0064652F"/>
    <w:rsid w:val="0064668F"/>
    <w:rsid w:val="00647638"/>
    <w:rsid w:val="00647874"/>
    <w:rsid w:val="00647BEF"/>
    <w:rsid w:val="00647FE5"/>
    <w:rsid w:val="00650003"/>
    <w:rsid w:val="006500A3"/>
    <w:rsid w:val="00650127"/>
    <w:rsid w:val="006511A7"/>
    <w:rsid w:val="006511BC"/>
    <w:rsid w:val="00651326"/>
    <w:rsid w:val="006515D5"/>
    <w:rsid w:val="0065190B"/>
    <w:rsid w:val="0065244F"/>
    <w:rsid w:val="00652AB2"/>
    <w:rsid w:val="006543C6"/>
    <w:rsid w:val="0065446C"/>
    <w:rsid w:val="0065457B"/>
    <w:rsid w:val="00654697"/>
    <w:rsid w:val="00654BA3"/>
    <w:rsid w:val="00654BE2"/>
    <w:rsid w:val="0065521F"/>
    <w:rsid w:val="0065523C"/>
    <w:rsid w:val="006554E5"/>
    <w:rsid w:val="00655899"/>
    <w:rsid w:val="006560F8"/>
    <w:rsid w:val="00656230"/>
    <w:rsid w:val="006567F4"/>
    <w:rsid w:val="0065693B"/>
    <w:rsid w:val="006573C9"/>
    <w:rsid w:val="00657447"/>
    <w:rsid w:val="006576E2"/>
    <w:rsid w:val="0065795A"/>
    <w:rsid w:val="00657979"/>
    <w:rsid w:val="00657C19"/>
    <w:rsid w:val="00657D4A"/>
    <w:rsid w:val="00660736"/>
    <w:rsid w:val="00661200"/>
    <w:rsid w:val="00661212"/>
    <w:rsid w:val="0066176C"/>
    <w:rsid w:val="006617F8"/>
    <w:rsid w:val="00661993"/>
    <w:rsid w:val="00662144"/>
    <w:rsid w:val="00662507"/>
    <w:rsid w:val="0066255C"/>
    <w:rsid w:val="006626CB"/>
    <w:rsid w:val="00662D32"/>
    <w:rsid w:val="0066303E"/>
    <w:rsid w:val="00663399"/>
    <w:rsid w:val="00663803"/>
    <w:rsid w:val="00663DA1"/>
    <w:rsid w:val="006642CD"/>
    <w:rsid w:val="00664A51"/>
    <w:rsid w:val="00664B1F"/>
    <w:rsid w:val="00664C5B"/>
    <w:rsid w:val="00664F3C"/>
    <w:rsid w:val="00664F9A"/>
    <w:rsid w:val="00665021"/>
    <w:rsid w:val="0066520B"/>
    <w:rsid w:val="00665436"/>
    <w:rsid w:val="00666807"/>
    <w:rsid w:val="00666AEB"/>
    <w:rsid w:val="00666F0C"/>
    <w:rsid w:val="00666FAF"/>
    <w:rsid w:val="0066736D"/>
    <w:rsid w:val="00667A21"/>
    <w:rsid w:val="00667B7E"/>
    <w:rsid w:val="00667D83"/>
    <w:rsid w:val="006700E8"/>
    <w:rsid w:val="006705E7"/>
    <w:rsid w:val="00672195"/>
    <w:rsid w:val="006721E9"/>
    <w:rsid w:val="006726E3"/>
    <w:rsid w:val="00672BDC"/>
    <w:rsid w:val="00672EA9"/>
    <w:rsid w:val="006735F6"/>
    <w:rsid w:val="006736FD"/>
    <w:rsid w:val="0067377D"/>
    <w:rsid w:val="0067379C"/>
    <w:rsid w:val="00673885"/>
    <w:rsid w:val="00673997"/>
    <w:rsid w:val="00674CA2"/>
    <w:rsid w:val="00675221"/>
    <w:rsid w:val="00675686"/>
    <w:rsid w:val="00675C5F"/>
    <w:rsid w:val="00675EEC"/>
    <w:rsid w:val="00676308"/>
    <w:rsid w:val="006764C7"/>
    <w:rsid w:val="00677881"/>
    <w:rsid w:val="00677BAC"/>
    <w:rsid w:val="00677C21"/>
    <w:rsid w:val="006803B1"/>
    <w:rsid w:val="00680825"/>
    <w:rsid w:val="006809F3"/>
    <w:rsid w:val="00680B22"/>
    <w:rsid w:val="00680C2F"/>
    <w:rsid w:val="00680CD9"/>
    <w:rsid w:val="006813CA"/>
    <w:rsid w:val="00681E92"/>
    <w:rsid w:val="00682027"/>
    <w:rsid w:val="00682625"/>
    <w:rsid w:val="0068350C"/>
    <w:rsid w:val="00683702"/>
    <w:rsid w:val="006839C2"/>
    <w:rsid w:val="006846F6"/>
    <w:rsid w:val="006848F6"/>
    <w:rsid w:val="00684AC6"/>
    <w:rsid w:val="0068598B"/>
    <w:rsid w:val="00685BA3"/>
    <w:rsid w:val="006863AC"/>
    <w:rsid w:val="00686BA3"/>
    <w:rsid w:val="00687211"/>
    <w:rsid w:val="0068726D"/>
    <w:rsid w:val="00687A8C"/>
    <w:rsid w:val="00687B69"/>
    <w:rsid w:val="0069005C"/>
    <w:rsid w:val="006908D9"/>
    <w:rsid w:val="00690F5F"/>
    <w:rsid w:val="006914C2"/>
    <w:rsid w:val="006924AC"/>
    <w:rsid w:val="00692855"/>
    <w:rsid w:val="00693126"/>
    <w:rsid w:val="00693439"/>
    <w:rsid w:val="00694115"/>
    <w:rsid w:val="0069479F"/>
    <w:rsid w:val="00694AEB"/>
    <w:rsid w:val="00695846"/>
    <w:rsid w:val="006958A2"/>
    <w:rsid w:val="00695DE6"/>
    <w:rsid w:val="006969E9"/>
    <w:rsid w:val="006971A9"/>
    <w:rsid w:val="006974F8"/>
    <w:rsid w:val="0069778F"/>
    <w:rsid w:val="00697800"/>
    <w:rsid w:val="00697922"/>
    <w:rsid w:val="006979E2"/>
    <w:rsid w:val="00697AEE"/>
    <w:rsid w:val="00697BE3"/>
    <w:rsid w:val="006A00AE"/>
    <w:rsid w:val="006A051A"/>
    <w:rsid w:val="006A0574"/>
    <w:rsid w:val="006A1C3E"/>
    <w:rsid w:val="006A1D44"/>
    <w:rsid w:val="006A30C4"/>
    <w:rsid w:val="006A30E6"/>
    <w:rsid w:val="006A35DE"/>
    <w:rsid w:val="006A37D9"/>
    <w:rsid w:val="006A4212"/>
    <w:rsid w:val="006A47BC"/>
    <w:rsid w:val="006A4967"/>
    <w:rsid w:val="006A4AB5"/>
    <w:rsid w:val="006A4B88"/>
    <w:rsid w:val="006A5533"/>
    <w:rsid w:val="006A59E0"/>
    <w:rsid w:val="006A5C21"/>
    <w:rsid w:val="006A5CF4"/>
    <w:rsid w:val="006A5D33"/>
    <w:rsid w:val="006A6F98"/>
    <w:rsid w:val="006A7D9C"/>
    <w:rsid w:val="006A7F6E"/>
    <w:rsid w:val="006B009E"/>
    <w:rsid w:val="006B0712"/>
    <w:rsid w:val="006B09A3"/>
    <w:rsid w:val="006B0A32"/>
    <w:rsid w:val="006B0C9D"/>
    <w:rsid w:val="006B1A64"/>
    <w:rsid w:val="006B2046"/>
    <w:rsid w:val="006B2680"/>
    <w:rsid w:val="006B2C5C"/>
    <w:rsid w:val="006B3569"/>
    <w:rsid w:val="006B365A"/>
    <w:rsid w:val="006B46AB"/>
    <w:rsid w:val="006B4AC8"/>
    <w:rsid w:val="006B4AF2"/>
    <w:rsid w:val="006B5612"/>
    <w:rsid w:val="006B592C"/>
    <w:rsid w:val="006B5CA9"/>
    <w:rsid w:val="006B6030"/>
    <w:rsid w:val="006B6101"/>
    <w:rsid w:val="006B67A3"/>
    <w:rsid w:val="006B6F4C"/>
    <w:rsid w:val="006B7029"/>
    <w:rsid w:val="006B71FE"/>
    <w:rsid w:val="006B7314"/>
    <w:rsid w:val="006B73E3"/>
    <w:rsid w:val="006B781E"/>
    <w:rsid w:val="006B7962"/>
    <w:rsid w:val="006B7A49"/>
    <w:rsid w:val="006B7E8A"/>
    <w:rsid w:val="006B7EEB"/>
    <w:rsid w:val="006B7F35"/>
    <w:rsid w:val="006C0174"/>
    <w:rsid w:val="006C03AB"/>
    <w:rsid w:val="006C0764"/>
    <w:rsid w:val="006C07E6"/>
    <w:rsid w:val="006C099B"/>
    <w:rsid w:val="006C1355"/>
    <w:rsid w:val="006C145B"/>
    <w:rsid w:val="006C1E6C"/>
    <w:rsid w:val="006C21EA"/>
    <w:rsid w:val="006C2402"/>
    <w:rsid w:val="006C25C9"/>
    <w:rsid w:val="006C43F0"/>
    <w:rsid w:val="006C4B91"/>
    <w:rsid w:val="006C4EDC"/>
    <w:rsid w:val="006C5B74"/>
    <w:rsid w:val="006C690F"/>
    <w:rsid w:val="006C6BF1"/>
    <w:rsid w:val="006C707A"/>
    <w:rsid w:val="006C707F"/>
    <w:rsid w:val="006C716C"/>
    <w:rsid w:val="006C73B2"/>
    <w:rsid w:val="006C7D81"/>
    <w:rsid w:val="006C7E38"/>
    <w:rsid w:val="006C7FB9"/>
    <w:rsid w:val="006D0B9E"/>
    <w:rsid w:val="006D117E"/>
    <w:rsid w:val="006D138A"/>
    <w:rsid w:val="006D13BE"/>
    <w:rsid w:val="006D1D08"/>
    <w:rsid w:val="006D1E8B"/>
    <w:rsid w:val="006D21D2"/>
    <w:rsid w:val="006D2BFB"/>
    <w:rsid w:val="006D2DC6"/>
    <w:rsid w:val="006D3190"/>
    <w:rsid w:val="006D32CD"/>
    <w:rsid w:val="006D397D"/>
    <w:rsid w:val="006D3C23"/>
    <w:rsid w:val="006D3D79"/>
    <w:rsid w:val="006D40D0"/>
    <w:rsid w:val="006D454B"/>
    <w:rsid w:val="006D4724"/>
    <w:rsid w:val="006D4B7A"/>
    <w:rsid w:val="006D5154"/>
    <w:rsid w:val="006D5852"/>
    <w:rsid w:val="006D58EC"/>
    <w:rsid w:val="006D5CA1"/>
    <w:rsid w:val="006D5E46"/>
    <w:rsid w:val="006D707D"/>
    <w:rsid w:val="006D7206"/>
    <w:rsid w:val="006D76BF"/>
    <w:rsid w:val="006E03EB"/>
    <w:rsid w:val="006E0713"/>
    <w:rsid w:val="006E1206"/>
    <w:rsid w:val="006E162B"/>
    <w:rsid w:val="006E17AC"/>
    <w:rsid w:val="006E1825"/>
    <w:rsid w:val="006E1FD2"/>
    <w:rsid w:val="006E2032"/>
    <w:rsid w:val="006E209D"/>
    <w:rsid w:val="006E26CD"/>
    <w:rsid w:val="006E29E5"/>
    <w:rsid w:val="006E2BB3"/>
    <w:rsid w:val="006E30B9"/>
    <w:rsid w:val="006E3414"/>
    <w:rsid w:val="006E37E3"/>
    <w:rsid w:val="006E3977"/>
    <w:rsid w:val="006E3E2A"/>
    <w:rsid w:val="006E441B"/>
    <w:rsid w:val="006E55FF"/>
    <w:rsid w:val="006E567B"/>
    <w:rsid w:val="006E5BB0"/>
    <w:rsid w:val="006E5CF6"/>
    <w:rsid w:val="006E5D0D"/>
    <w:rsid w:val="006E5F4D"/>
    <w:rsid w:val="006E5F75"/>
    <w:rsid w:val="006E6429"/>
    <w:rsid w:val="006E69D4"/>
    <w:rsid w:val="006E7434"/>
    <w:rsid w:val="006E76D8"/>
    <w:rsid w:val="006E7A13"/>
    <w:rsid w:val="006E7A51"/>
    <w:rsid w:val="006E7AE8"/>
    <w:rsid w:val="006F099C"/>
    <w:rsid w:val="006F0AD5"/>
    <w:rsid w:val="006F0D36"/>
    <w:rsid w:val="006F1083"/>
    <w:rsid w:val="006F124C"/>
    <w:rsid w:val="006F15BE"/>
    <w:rsid w:val="006F1822"/>
    <w:rsid w:val="006F1BCB"/>
    <w:rsid w:val="006F1BF4"/>
    <w:rsid w:val="006F2FA6"/>
    <w:rsid w:val="006F36A5"/>
    <w:rsid w:val="006F39DE"/>
    <w:rsid w:val="006F3E06"/>
    <w:rsid w:val="006F3E16"/>
    <w:rsid w:val="006F4106"/>
    <w:rsid w:val="006F45A3"/>
    <w:rsid w:val="006F4C0B"/>
    <w:rsid w:val="006F4C28"/>
    <w:rsid w:val="006F4DAD"/>
    <w:rsid w:val="006F4E99"/>
    <w:rsid w:val="006F4E9D"/>
    <w:rsid w:val="006F5955"/>
    <w:rsid w:val="006F59AE"/>
    <w:rsid w:val="006F5B04"/>
    <w:rsid w:val="006F5BC4"/>
    <w:rsid w:val="006F5FEE"/>
    <w:rsid w:val="006F6689"/>
    <w:rsid w:val="006F6757"/>
    <w:rsid w:val="006F688B"/>
    <w:rsid w:val="006F6B37"/>
    <w:rsid w:val="006F708B"/>
    <w:rsid w:val="006F7110"/>
    <w:rsid w:val="006F77B3"/>
    <w:rsid w:val="006F7F7C"/>
    <w:rsid w:val="007009FD"/>
    <w:rsid w:val="00700F4E"/>
    <w:rsid w:val="00701472"/>
    <w:rsid w:val="00701584"/>
    <w:rsid w:val="007019AB"/>
    <w:rsid w:val="00701DBE"/>
    <w:rsid w:val="00701DC6"/>
    <w:rsid w:val="00701F20"/>
    <w:rsid w:val="00701F6B"/>
    <w:rsid w:val="007025EE"/>
    <w:rsid w:val="007026EA"/>
    <w:rsid w:val="007028C4"/>
    <w:rsid w:val="00703064"/>
    <w:rsid w:val="00703C8C"/>
    <w:rsid w:val="00703E3B"/>
    <w:rsid w:val="00703ED6"/>
    <w:rsid w:val="00704106"/>
    <w:rsid w:val="007041E9"/>
    <w:rsid w:val="00704435"/>
    <w:rsid w:val="00704AD8"/>
    <w:rsid w:val="00704CBE"/>
    <w:rsid w:val="00704EF9"/>
    <w:rsid w:val="00705082"/>
    <w:rsid w:val="0070527F"/>
    <w:rsid w:val="007054CE"/>
    <w:rsid w:val="007057B4"/>
    <w:rsid w:val="007058AB"/>
    <w:rsid w:val="00705D18"/>
    <w:rsid w:val="00705F71"/>
    <w:rsid w:val="007060EC"/>
    <w:rsid w:val="007061C4"/>
    <w:rsid w:val="007063AE"/>
    <w:rsid w:val="007065C4"/>
    <w:rsid w:val="007065D9"/>
    <w:rsid w:val="00706B66"/>
    <w:rsid w:val="00707081"/>
    <w:rsid w:val="00707627"/>
    <w:rsid w:val="0070786A"/>
    <w:rsid w:val="00707F52"/>
    <w:rsid w:val="0071008D"/>
    <w:rsid w:val="00710599"/>
    <w:rsid w:val="007107BB"/>
    <w:rsid w:val="00710F56"/>
    <w:rsid w:val="007116B0"/>
    <w:rsid w:val="00711B54"/>
    <w:rsid w:val="00712016"/>
    <w:rsid w:val="00712166"/>
    <w:rsid w:val="00713832"/>
    <w:rsid w:val="007138A8"/>
    <w:rsid w:val="0071411C"/>
    <w:rsid w:val="007146E5"/>
    <w:rsid w:val="0071547A"/>
    <w:rsid w:val="0071562C"/>
    <w:rsid w:val="00716590"/>
    <w:rsid w:val="00716F04"/>
    <w:rsid w:val="007176F4"/>
    <w:rsid w:val="00717FA4"/>
    <w:rsid w:val="00720185"/>
    <w:rsid w:val="00720407"/>
    <w:rsid w:val="0072044E"/>
    <w:rsid w:val="007206CA"/>
    <w:rsid w:val="007216A7"/>
    <w:rsid w:val="007217B2"/>
    <w:rsid w:val="00721B16"/>
    <w:rsid w:val="00721DCB"/>
    <w:rsid w:val="007220EA"/>
    <w:rsid w:val="00722A5A"/>
    <w:rsid w:val="00723291"/>
    <w:rsid w:val="00723476"/>
    <w:rsid w:val="00723535"/>
    <w:rsid w:val="007236DF"/>
    <w:rsid w:val="00723BE1"/>
    <w:rsid w:val="00724697"/>
    <w:rsid w:val="007249B7"/>
    <w:rsid w:val="0072563C"/>
    <w:rsid w:val="00725D5A"/>
    <w:rsid w:val="0072614E"/>
    <w:rsid w:val="00726C62"/>
    <w:rsid w:val="007270B4"/>
    <w:rsid w:val="00727346"/>
    <w:rsid w:val="007273AD"/>
    <w:rsid w:val="00727925"/>
    <w:rsid w:val="00730396"/>
    <w:rsid w:val="007304EE"/>
    <w:rsid w:val="007308A9"/>
    <w:rsid w:val="007312B6"/>
    <w:rsid w:val="00731458"/>
    <w:rsid w:val="00731493"/>
    <w:rsid w:val="0073192D"/>
    <w:rsid w:val="0073198C"/>
    <w:rsid w:val="0073199F"/>
    <w:rsid w:val="00731F56"/>
    <w:rsid w:val="00732D54"/>
    <w:rsid w:val="00732D9E"/>
    <w:rsid w:val="007334DD"/>
    <w:rsid w:val="00733739"/>
    <w:rsid w:val="00733DE6"/>
    <w:rsid w:val="007348F7"/>
    <w:rsid w:val="00734AFD"/>
    <w:rsid w:val="00734E9B"/>
    <w:rsid w:val="007356E1"/>
    <w:rsid w:val="00735CB9"/>
    <w:rsid w:val="00735ECB"/>
    <w:rsid w:val="007361C2"/>
    <w:rsid w:val="00736315"/>
    <w:rsid w:val="00736823"/>
    <w:rsid w:val="007371D5"/>
    <w:rsid w:val="00737B23"/>
    <w:rsid w:val="00737E5C"/>
    <w:rsid w:val="00740273"/>
    <w:rsid w:val="00740E75"/>
    <w:rsid w:val="00741ED7"/>
    <w:rsid w:val="00741F2C"/>
    <w:rsid w:val="007428DE"/>
    <w:rsid w:val="0074299E"/>
    <w:rsid w:val="00742DD2"/>
    <w:rsid w:val="007435CB"/>
    <w:rsid w:val="0074434F"/>
    <w:rsid w:val="007443B8"/>
    <w:rsid w:val="00744D27"/>
    <w:rsid w:val="0074541D"/>
    <w:rsid w:val="00745785"/>
    <w:rsid w:val="00745944"/>
    <w:rsid w:val="00745B41"/>
    <w:rsid w:val="00745DD1"/>
    <w:rsid w:val="00745E77"/>
    <w:rsid w:val="00746C49"/>
    <w:rsid w:val="00747074"/>
    <w:rsid w:val="0074715F"/>
    <w:rsid w:val="007471D0"/>
    <w:rsid w:val="007479AA"/>
    <w:rsid w:val="00747A84"/>
    <w:rsid w:val="0075029B"/>
    <w:rsid w:val="00750317"/>
    <w:rsid w:val="00750BC9"/>
    <w:rsid w:val="00750BDD"/>
    <w:rsid w:val="00750BE9"/>
    <w:rsid w:val="00751172"/>
    <w:rsid w:val="007514B0"/>
    <w:rsid w:val="007519DF"/>
    <w:rsid w:val="00751AE5"/>
    <w:rsid w:val="00751C02"/>
    <w:rsid w:val="007521A1"/>
    <w:rsid w:val="0075259F"/>
    <w:rsid w:val="00752C13"/>
    <w:rsid w:val="00752CD1"/>
    <w:rsid w:val="00752D22"/>
    <w:rsid w:val="007533D8"/>
    <w:rsid w:val="00753D58"/>
    <w:rsid w:val="00753D59"/>
    <w:rsid w:val="00753E4F"/>
    <w:rsid w:val="007545ED"/>
    <w:rsid w:val="00754B58"/>
    <w:rsid w:val="00754EB4"/>
    <w:rsid w:val="00755195"/>
    <w:rsid w:val="007554FF"/>
    <w:rsid w:val="0075582A"/>
    <w:rsid w:val="00755E25"/>
    <w:rsid w:val="00756086"/>
    <w:rsid w:val="007566F6"/>
    <w:rsid w:val="00756E0A"/>
    <w:rsid w:val="0075784B"/>
    <w:rsid w:val="00757E3A"/>
    <w:rsid w:val="00757F1D"/>
    <w:rsid w:val="007610F7"/>
    <w:rsid w:val="0076110A"/>
    <w:rsid w:val="007614F1"/>
    <w:rsid w:val="007625FC"/>
    <w:rsid w:val="00762615"/>
    <w:rsid w:val="00763835"/>
    <w:rsid w:val="007644A7"/>
    <w:rsid w:val="00764B23"/>
    <w:rsid w:val="007658AF"/>
    <w:rsid w:val="00766003"/>
    <w:rsid w:val="007661FF"/>
    <w:rsid w:val="007662F9"/>
    <w:rsid w:val="007663B6"/>
    <w:rsid w:val="00766692"/>
    <w:rsid w:val="007668D9"/>
    <w:rsid w:val="00766CD7"/>
    <w:rsid w:val="00766D7C"/>
    <w:rsid w:val="0076798E"/>
    <w:rsid w:val="00767F46"/>
    <w:rsid w:val="0077093B"/>
    <w:rsid w:val="00770EA6"/>
    <w:rsid w:val="00771A1E"/>
    <w:rsid w:val="00771CDE"/>
    <w:rsid w:val="00771F5A"/>
    <w:rsid w:val="0077237B"/>
    <w:rsid w:val="007724CD"/>
    <w:rsid w:val="007724D5"/>
    <w:rsid w:val="00772630"/>
    <w:rsid w:val="00773848"/>
    <w:rsid w:val="00773B13"/>
    <w:rsid w:val="00773C79"/>
    <w:rsid w:val="0077454A"/>
    <w:rsid w:val="00774D06"/>
    <w:rsid w:val="00775520"/>
    <w:rsid w:val="00775582"/>
    <w:rsid w:val="00775DBB"/>
    <w:rsid w:val="007760D0"/>
    <w:rsid w:val="00776AA2"/>
    <w:rsid w:val="007773C7"/>
    <w:rsid w:val="00777834"/>
    <w:rsid w:val="00780576"/>
    <w:rsid w:val="007806F7"/>
    <w:rsid w:val="007807E5"/>
    <w:rsid w:val="00780B7B"/>
    <w:rsid w:val="00780C4D"/>
    <w:rsid w:val="00780D51"/>
    <w:rsid w:val="00781A35"/>
    <w:rsid w:val="00781E41"/>
    <w:rsid w:val="00781F7C"/>
    <w:rsid w:val="0078214D"/>
    <w:rsid w:val="007821FA"/>
    <w:rsid w:val="00782DB4"/>
    <w:rsid w:val="00782E33"/>
    <w:rsid w:val="00783489"/>
    <w:rsid w:val="00784736"/>
    <w:rsid w:val="0078482F"/>
    <w:rsid w:val="00784AAC"/>
    <w:rsid w:val="00784E34"/>
    <w:rsid w:val="007852C5"/>
    <w:rsid w:val="0078562F"/>
    <w:rsid w:val="00785AC0"/>
    <w:rsid w:val="00785DA5"/>
    <w:rsid w:val="00785E8D"/>
    <w:rsid w:val="007861D2"/>
    <w:rsid w:val="0078679F"/>
    <w:rsid w:val="00786F35"/>
    <w:rsid w:val="0078713B"/>
    <w:rsid w:val="00790520"/>
    <w:rsid w:val="00791B91"/>
    <w:rsid w:val="00791CC1"/>
    <w:rsid w:val="00791F39"/>
    <w:rsid w:val="0079236A"/>
    <w:rsid w:val="007929E6"/>
    <w:rsid w:val="00792C07"/>
    <w:rsid w:val="00792D3C"/>
    <w:rsid w:val="0079330C"/>
    <w:rsid w:val="0079344B"/>
    <w:rsid w:val="007934C1"/>
    <w:rsid w:val="007937D4"/>
    <w:rsid w:val="00794655"/>
    <w:rsid w:val="007948A3"/>
    <w:rsid w:val="00794CC9"/>
    <w:rsid w:val="00794D25"/>
    <w:rsid w:val="00795359"/>
    <w:rsid w:val="00795711"/>
    <w:rsid w:val="0079575C"/>
    <w:rsid w:val="00795B58"/>
    <w:rsid w:val="00795FA1"/>
    <w:rsid w:val="0079638C"/>
    <w:rsid w:val="00796866"/>
    <w:rsid w:val="0079696A"/>
    <w:rsid w:val="00796A0F"/>
    <w:rsid w:val="0079731F"/>
    <w:rsid w:val="0079790E"/>
    <w:rsid w:val="007A057C"/>
    <w:rsid w:val="007A1857"/>
    <w:rsid w:val="007A1991"/>
    <w:rsid w:val="007A19A5"/>
    <w:rsid w:val="007A1CC3"/>
    <w:rsid w:val="007A36A0"/>
    <w:rsid w:val="007A38A8"/>
    <w:rsid w:val="007A38F4"/>
    <w:rsid w:val="007A3C62"/>
    <w:rsid w:val="007A4270"/>
    <w:rsid w:val="007A4404"/>
    <w:rsid w:val="007A458A"/>
    <w:rsid w:val="007A463F"/>
    <w:rsid w:val="007A46B4"/>
    <w:rsid w:val="007A55D3"/>
    <w:rsid w:val="007A5800"/>
    <w:rsid w:val="007A5DEA"/>
    <w:rsid w:val="007A6BB9"/>
    <w:rsid w:val="007A7395"/>
    <w:rsid w:val="007A7958"/>
    <w:rsid w:val="007A7D45"/>
    <w:rsid w:val="007A7FD5"/>
    <w:rsid w:val="007B0588"/>
    <w:rsid w:val="007B09A3"/>
    <w:rsid w:val="007B09A7"/>
    <w:rsid w:val="007B0C29"/>
    <w:rsid w:val="007B0E56"/>
    <w:rsid w:val="007B0EC8"/>
    <w:rsid w:val="007B13B3"/>
    <w:rsid w:val="007B1467"/>
    <w:rsid w:val="007B2A59"/>
    <w:rsid w:val="007B306E"/>
    <w:rsid w:val="007B3262"/>
    <w:rsid w:val="007B3279"/>
    <w:rsid w:val="007B3570"/>
    <w:rsid w:val="007B36B5"/>
    <w:rsid w:val="007B3A99"/>
    <w:rsid w:val="007B3B97"/>
    <w:rsid w:val="007B3C43"/>
    <w:rsid w:val="007B3CC3"/>
    <w:rsid w:val="007B44E1"/>
    <w:rsid w:val="007B45BD"/>
    <w:rsid w:val="007B461B"/>
    <w:rsid w:val="007B466D"/>
    <w:rsid w:val="007B4AC9"/>
    <w:rsid w:val="007B53AD"/>
    <w:rsid w:val="007B5502"/>
    <w:rsid w:val="007B594A"/>
    <w:rsid w:val="007B5B77"/>
    <w:rsid w:val="007B60E1"/>
    <w:rsid w:val="007B6695"/>
    <w:rsid w:val="007B7252"/>
    <w:rsid w:val="007B742B"/>
    <w:rsid w:val="007B7709"/>
    <w:rsid w:val="007B7932"/>
    <w:rsid w:val="007B7D0F"/>
    <w:rsid w:val="007B7D8F"/>
    <w:rsid w:val="007B7FB6"/>
    <w:rsid w:val="007C1101"/>
    <w:rsid w:val="007C11EE"/>
    <w:rsid w:val="007C16C9"/>
    <w:rsid w:val="007C1765"/>
    <w:rsid w:val="007C1B6C"/>
    <w:rsid w:val="007C2111"/>
    <w:rsid w:val="007C23CF"/>
    <w:rsid w:val="007C26E6"/>
    <w:rsid w:val="007C356E"/>
    <w:rsid w:val="007C3667"/>
    <w:rsid w:val="007C3981"/>
    <w:rsid w:val="007C3A12"/>
    <w:rsid w:val="007C3DDC"/>
    <w:rsid w:val="007C4084"/>
    <w:rsid w:val="007C45CD"/>
    <w:rsid w:val="007C5183"/>
    <w:rsid w:val="007C5246"/>
    <w:rsid w:val="007C5305"/>
    <w:rsid w:val="007C5B14"/>
    <w:rsid w:val="007C5DC5"/>
    <w:rsid w:val="007C5F7F"/>
    <w:rsid w:val="007C6C83"/>
    <w:rsid w:val="007C6F4E"/>
    <w:rsid w:val="007C74B7"/>
    <w:rsid w:val="007C766E"/>
    <w:rsid w:val="007D020A"/>
    <w:rsid w:val="007D046F"/>
    <w:rsid w:val="007D04DC"/>
    <w:rsid w:val="007D05C8"/>
    <w:rsid w:val="007D05CF"/>
    <w:rsid w:val="007D06C0"/>
    <w:rsid w:val="007D0A7B"/>
    <w:rsid w:val="007D1324"/>
    <w:rsid w:val="007D1383"/>
    <w:rsid w:val="007D1435"/>
    <w:rsid w:val="007D1EF2"/>
    <w:rsid w:val="007D2C6B"/>
    <w:rsid w:val="007D3346"/>
    <w:rsid w:val="007D3460"/>
    <w:rsid w:val="007D3669"/>
    <w:rsid w:val="007D37A9"/>
    <w:rsid w:val="007D43F4"/>
    <w:rsid w:val="007D4960"/>
    <w:rsid w:val="007D49A7"/>
    <w:rsid w:val="007D4CCE"/>
    <w:rsid w:val="007D4F88"/>
    <w:rsid w:val="007D50E4"/>
    <w:rsid w:val="007D57C4"/>
    <w:rsid w:val="007D7AA5"/>
    <w:rsid w:val="007D7B03"/>
    <w:rsid w:val="007D7C29"/>
    <w:rsid w:val="007E06A7"/>
    <w:rsid w:val="007E0E6E"/>
    <w:rsid w:val="007E0F00"/>
    <w:rsid w:val="007E1F14"/>
    <w:rsid w:val="007E2242"/>
    <w:rsid w:val="007E2649"/>
    <w:rsid w:val="007E292E"/>
    <w:rsid w:val="007E2A58"/>
    <w:rsid w:val="007E2FAA"/>
    <w:rsid w:val="007E37A0"/>
    <w:rsid w:val="007E3ED2"/>
    <w:rsid w:val="007E3FA2"/>
    <w:rsid w:val="007E4C7F"/>
    <w:rsid w:val="007E54EF"/>
    <w:rsid w:val="007E5599"/>
    <w:rsid w:val="007E5D59"/>
    <w:rsid w:val="007E62DD"/>
    <w:rsid w:val="007E6421"/>
    <w:rsid w:val="007E64AB"/>
    <w:rsid w:val="007E75A8"/>
    <w:rsid w:val="007E7DB4"/>
    <w:rsid w:val="007F0083"/>
    <w:rsid w:val="007F0415"/>
    <w:rsid w:val="007F057B"/>
    <w:rsid w:val="007F059C"/>
    <w:rsid w:val="007F087A"/>
    <w:rsid w:val="007F09B4"/>
    <w:rsid w:val="007F128B"/>
    <w:rsid w:val="007F13C2"/>
    <w:rsid w:val="007F20BC"/>
    <w:rsid w:val="007F282A"/>
    <w:rsid w:val="007F2A9A"/>
    <w:rsid w:val="007F2CFC"/>
    <w:rsid w:val="007F2F97"/>
    <w:rsid w:val="007F3371"/>
    <w:rsid w:val="007F34CF"/>
    <w:rsid w:val="007F372F"/>
    <w:rsid w:val="007F476A"/>
    <w:rsid w:val="007F4F7D"/>
    <w:rsid w:val="007F4FC1"/>
    <w:rsid w:val="007F553F"/>
    <w:rsid w:val="007F5786"/>
    <w:rsid w:val="007F6467"/>
    <w:rsid w:val="007F64DE"/>
    <w:rsid w:val="007F64F1"/>
    <w:rsid w:val="007F674B"/>
    <w:rsid w:val="007F772A"/>
    <w:rsid w:val="007F7755"/>
    <w:rsid w:val="007F79E4"/>
    <w:rsid w:val="007F7EE5"/>
    <w:rsid w:val="00800180"/>
    <w:rsid w:val="0080026A"/>
    <w:rsid w:val="008002FD"/>
    <w:rsid w:val="008014B3"/>
    <w:rsid w:val="00801689"/>
    <w:rsid w:val="00801B2B"/>
    <w:rsid w:val="0080210B"/>
    <w:rsid w:val="00802703"/>
    <w:rsid w:val="008029E6"/>
    <w:rsid w:val="00802E35"/>
    <w:rsid w:val="00803692"/>
    <w:rsid w:val="008041EC"/>
    <w:rsid w:val="008045FA"/>
    <w:rsid w:val="00804FBA"/>
    <w:rsid w:val="00805EB8"/>
    <w:rsid w:val="00805F9C"/>
    <w:rsid w:val="00806575"/>
    <w:rsid w:val="00806FE9"/>
    <w:rsid w:val="00807510"/>
    <w:rsid w:val="00807517"/>
    <w:rsid w:val="0080763D"/>
    <w:rsid w:val="00807DBA"/>
    <w:rsid w:val="00810627"/>
    <w:rsid w:val="00810CC8"/>
    <w:rsid w:val="00810DFC"/>
    <w:rsid w:val="00811841"/>
    <w:rsid w:val="00811F6F"/>
    <w:rsid w:val="00811FE6"/>
    <w:rsid w:val="008125CB"/>
    <w:rsid w:val="008127AC"/>
    <w:rsid w:val="00812941"/>
    <w:rsid w:val="00812E87"/>
    <w:rsid w:val="0081326F"/>
    <w:rsid w:val="00813B43"/>
    <w:rsid w:val="00813ED0"/>
    <w:rsid w:val="0081403D"/>
    <w:rsid w:val="00814252"/>
    <w:rsid w:val="008147BE"/>
    <w:rsid w:val="00814C63"/>
    <w:rsid w:val="00814EE1"/>
    <w:rsid w:val="00815288"/>
    <w:rsid w:val="008154ED"/>
    <w:rsid w:val="00815D7F"/>
    <w:rsid w:val="00815E98"/>
    <w:rsid w:val="008174AF"/>
    <w:rsid w:val="0081757C"/>
    <w:rsid w:val="00817782"/>
    <w:rsid w:val="00817DEA"/>
    <w:rsid w:val="00817F49"/>
    <w:rsid w:val="0082047A"/>
    <w:rsid w:val="00820819"/>
    <w:rsid w:val="00820CD1"/>
    <w:rsid w:val="00821272"/>
    <w:rsid w:val="00821400"/>
    <w:rsid w:val="008215C9"/>
    <w:rsid w:val="00821CE5"/>
    <w:rsid w:val="00821E84"/>
    <w:rsid w:val="00822320"/>
    <w:rsid w:val="00822950"/>
    <w:rsid w:val="008233DA"/>
    <w:rsid w:val="00823DBF"/>
    <w:rsid w:val="0082420F"/>
    <w:rsid w:val="00824639"/>
    <w:rsid w:val="00824AB7"/>
    <w:rsid w:val="008252F3"/>
    <w:rsid w:val="0082536E"/>
    <w:rsid w:val="00825B1C"/>
    <w:rsid w:val="00825C21"/>
    <w:rsid w:val="0082630C"/>
    <w:rsid w:val="0082646C"/>
    <w:rsid w:val="0082679D"/>
    <w:rsid w:val="00826F61"/>
    <w:rsid w:val="00827107"/>
    <w:rsid w:val="00827397"/>
    <w:rsid w:val="008273DA"/>
    <w:rsid w:val="00827614"/>
    <w:rsid w:val="0082781E"/>
    <w:rsid w:val="00827822"/>
    <w:rsid w:val="00827B07"/>
    <w:rsid w:val="0083001C"/>
    <w:rsid w:val="00830049"/>
    <w:rsid w:val="0083024F"/>
    <w:rsid w:val="008309DF"/>
    <w:rsid w:val="00831301"/>
    <w:rsid w:val="008313F4"/>
    <w:rsid w:val="00831469"/>
    <w:rsid w:val="00831A6C"/>
    <w:rsid w:val="00831A80"/>
    <w:rsid w:val="008321D2"/>
    <w:rsid w:val="00832555"/>
    <w:rsid w:val="00832798"/>
    <w:rsid w:val="00833167"/>
    <w:rsid w:val="00833210"/>
    <w:rsid w:val="00834067"/>
    <w:rsid w:val="00834547"/>
    <w:rsid w:val="00834599"/>
    <w:rsid w:val="008346CD"/>
    <w:rsid w:val="00834723"/>
    <w:rsid w:val="00834C15"/>
    <w:rsid w:val="00835412"/>
    <w:rsid w:val="008356B7"/>
    <w:rsid w:val="00836434"/>
    <w:rsid w:val="008368A1"/>
    <w:rsid w:val="00836D70"/>
    <w:rsid w:val="00836E39"/>
    <w:rsid w:val="00836F9C"/>
    <w:rsid w:val="008371F1"/>
    <w:rsid w:val="008372FC"/>
    <w:rsid w:val="008373DA"/>
    <w:rsid w:val="008377E0"/>
    <w:rsid w:val="00837CC9"/>
    <w:rsid w:val="008401D1"/>
    <w:rsid w:val="00840B6B"/>
    <w:rsid w:val="00840D54"/>
    <w:rsid w:val="00841143"/>
    <w:rsid w:val="00841489"/>
    <w:rsid w:val="00841AFD"/>
    <w:rsid w:val="00842E7E"/>
    <w:rsid w:val="00843A77"/>
    <w:rsid w:val="00843BD0"/>
    <w:rsid w:val="00843D32"/>
    <w:rsid w:val="0084414B"/>
    <w:rsid w:val="00844561"/>
    <w:rsid w:val="00844EE2"/>
    <w:rsid w:val="008451E2"/>
    <w:rsid w:val="0084556F"/>
    <w:rsid w:val="00845643"/>
    <w:rsid w:val="00845EDB"/>
    <w:rsid w:val="0084608E"/>
    <w:rsid w:val="008467F7"/>
    <w:rsid w:val="008468A3"/>
    <w:rsid w:val="00846A79"/>
    <w:rsid w:val="00846BF4"/>
    <w:rsid w:val="00846E5D"/>
    <w:rsid w:val="0084772F"/>
    <w:rsid w:val="00847C17"/>
    <w:rsid w:val="00847EC3"/>
    <w:rsid w:val="0085032F"/>
    <w:rsid w:val="0085095C"/>
    <w:rsid w:val="00850FA7"/>
    <w:rsid w:val="00851476"/>
    <w:rsid w:val="00851602"/>
    <w:rsid w:val="00851B32"/>
    <w:rsid w:val="0085227D"/>
    <w:rsid w:val="008525E1"/>
    <w:rsid w:val="0085301D"/>
    <w:rsid w:val="008540B6"/>
    <w:rsid w:val="00854448"/>
    <w:rsid w:val="00854EA1"/>
    <w:rsid w:val="008562F3"/>
    <w:rsid w:val="008573A1"/>
    <w:rsid w:val="00857467"/>
    <w:rsid w:val="0085786F"/>
    <w:rsid w:val="008578E8"/>
    <w:rsid w:val="00857BBB"/>
    <w:rsid w:val="00860050"/>
    <w:rsid w:val="008605DD"/>
    <w:rsid w:val="008609D4"/>
    <w:rsid w:val="00860A0A"/>
    <w:rsid w:val="00860F08"/>
    <w:rsid w:val="00860FF6"/>
    <w:rsid w:val="00861325"/>
    <w:rsid w:val="0086163E"/>
    <w:rsid w:val="00861CF1"/>
    <w:rsid w:val="00861DD5"/>
    <w:rsid w:val="00862269"/>
    <w:rsid w:val="0086286F"/>
    <w:rsid w:val="00862DCB"/>
    <w:rsid w:val="00863202"/>
    <w:rsid w:val="0086405C"/>
    <w:rsid w:val="0086417A"/>
    <w:rsid w:val="008647F2"/>
    <w:rsid w:val="00864999"/>
    <w:rsid w:val="00865176"/>
    <w:rsid w:val="00865358"/>
    <w:rsid w:val="00865DEA"/>
    <w:rsid w:val="008669D8"/>
    <w:rsid w:val="00866B00"/>
    <w:rsid w:val="00866F39"/>
    <w:rsid w:val="00867C64"/>
    <w:rsid w:val="00870FC4"/>
    <w:rsid w:val="008716BC"/>
    <w:rsid w:val="00871726"/>
    <w:rsid w:val="0087179C"/>
    <w:rsid w:val="00871B41"/>
    <w:rsid w:val="00871C0B"/>
    <w:rsid w:val="00871C7A"/>
    <w:rsid w:val="00872340"/>
    <w:rsid w:val="008724FB"/>
    <w:rsid w:val="00872512"/>
    <w:rsid w:val="00872625"/>
    <w:rsid w:val="0087285C"/>
    <w:rsid w:val="008730B3"/>
    <w:rsid w:val="0087311D"/>
    <w:rsid w:val="008736ED"/>
    <w:rsid w:val="00873EF8"/>
    <w:rsid w:val="0087409A"/>
    <w:rsid w:val="0087420F"/>
    <w:rsid w:val="00874445"/>
    <w:rsid w:val="008746F9"/>
    <w:rsid w:val="00874FF5"/>
    <w:rsid w:val="008756BE"/>
    <w:rsid w:val="00875788"/>
    <w:rsid w:val="00875DD4"/>
    <w:rsid w:val="00875EDD"/>
    <w:rsid w:val="00875FF1"/>
    <w:rsid w:val="008760DB"/>
    <w:rsid w:val="008763B3"/>
    <w:rsid w:val="008766D1"/>
    <w:rsid w:val="00876A22"/>
    <w:rsid w:val="00876CA0"/>
    <w:rsid w:val="00877725"/>
    <w:rsid w:val="008802DD"/>
    <w:rsid w:val="0088061E"/>
    <w:rsid w:val="00880800"/>
    <w:rsid w:val="00880AA0"/>
    <w:rsid w:val="00881100"/>
    <w:rsid w:val="0088127D"/>
    <w:rsid w:val="0088130E"/>
    <w:rsid w:val="00881E3B"/>
    <w:rsid w:val="00882AEB"/>
    <w:rsid w:val="00882E64"/>
    <w:rsid w:val="00884510"/>
    <w:rsid w:val="008845C9"/>
    <w:rsid w:val="00884B96"/>
    <w:rsid w:val="00884E11"/>
    <w:rsid w:val="00885131"/>
    <w:rsid w:val="008869A2"/>
    <w:rsid w:val="00886C90"/>
    <w:rsid w:val="00886C9A"/>
    <w:rsid w:val="00886CFF"/>
    <w:rsid w:val="00886EB6"/>
    <w:rsid w:val="008877AB"/>
    <w:rsid w:val="00887E37"/>
    <w:rsid w:val="00887F4E"/>
    <w:rsid w:val="008900D3"/>
    <w:rsid w:val="008905E4"/>
    <w:rsid w:val="00890647"/>
    <w:rsid w:val="008906CC"/>
    <w:rsid w:val="0089108B"/>
    <w:rsid w:val="0089214B"/>
    <w:rsid w:val="008921A6"/>
    <w:rsid w:val="00892373"/>
    <w:rsid w:val="00892629"/>
    <w:rsid w:val="00892885"/>
    <w:rsid w:val="00893A0D"/>
    <w:rsid w:val="00893DE2"/>
    <w:rsid w:val="00893E66"/>
    <w:rsid w:val="00893EE5"/>
    <w:rsid w:val="00893EF6"/>
    <w:rsid w:val="008946F0"/>
    <w:rsid w:val="00894A23"/>
    <w:rsid w:val="00894A83"/>
    <w:rsid w:val="008951E0"/>
    <w:rsid w:val="008958C3"/>
    <w:rsid w:val="00895C5C"/>
    <w:rsid w:val="00895E18"/>
    <w:rsid w:val="00895E95"/>
    <w:rsid w:val="008960C5"/>
    <w:rsid w:val="00896C31"/>
    <w:rsid w:val="008979CE"/>
    <w:rsid w:val="00897E63"/>
    <w:rsid w:val="008A0635"/>
    <w:rsid w:val="008A0E61"/>
    <w:rsid w:val="008A10DA"/>
    <w:rsid w:val="008A11DB"/>
    <w:rsid w:val="008A1512"/>
    <w:rsid w:val="008A1A12"/>
    <w:rsid w:val="008A2178"/>
    <w:rsid w:val="008A220E"/>
    <w:rsid w:val="008A290A"/>
    <w:rsid w:val="008A36CD"/>
    <w:rsid w:val="008A3B4A"/>
    <w:rsid w:val="008A3BC8"/>
    <w:rsid w:val="008A3D6E"/>
    <w:rsid w:val="008A4C12"/>
    <w:rsid w:val="008A53EE"/>
    <w:rsid w:val="008A56D5"/>
    <w:rsid w:val="008A5C43"/>
    <w:rsid w:val="008A62E6"/>
    <w:rsid w:val="008A66A8"/>
    <w:rsid w:val="008A6DAB"/>
    <w:rsid w:val="008A71CA"/>
    <w:rsid w:val="008A72C5"/>
    <w:rsid w:val="008A7395"/>
    <w:rsid w:val="008A79D7"/>
    <w:rsid w:val="008B0D03"/>
    <w:rsid w:val="008B0D3F"/>
    <w:rsid w:val="008B0E33"/>
    <w:rsid w:val="008B0F7D"/>
    <w:rsid w:val="008B1EB9"/>
    <w:rsid w:val="008B2139"/>
    <w:rsid w:val="008B221A"/>
    <w:rsid w:val="008B26B1"/>
    <w:rsid w:val="008B2A46"/>
    <w:rsid w:val="008B2E04"/>
    <w:rsid w:val="008B3BED"/>
    <w:rsid w:val="008B4058"/>
    <w:rsid w:val="008B433F"/>
    <w:rsid w:val="008B44ED"/>
    <w:rsid w:val="008B4858"/>
    <w:rsid w:val="008B4A29"/>
    <w:rsid w:val="008B4DBC"/>
    <w:rsid w:val="008B567A"/>
    <w:rsid w:val="008B59FB"/>
    <w:rsid w:val="008B5B1E"/>
    <w:rsid w:val="008B5B4F"/>
    <w:rsid w:val="008B618F"/>
    <w:rsid w:val="008B6202"/>
    <w:rsid w:val="008B63C4"/>
    <w:rsid w:val="008B65CE"/>
    <w:rsid w:val="008B695B"/>
    <w:rsid w:val="008B6A8C"/>
    <w:rsid w:val="008B71BB"/>
    <w:rsid w:val="008B7206"/>
    <w:rsid w:val="008B72A3"/>
    <w:rsid w:val="008B73C4"/>
    <w:rsid w:val="008B7B3D"/>
    <w:rsid w:val="008C005A"/>
    <w:rsid w:val="008C01DE"/>
    <w:rsid w:val="008C0CD5"/>
    <w:rsid w:val="008C14DC"/>
    <w:rsid w:val="008C1A86"/>
    <w:rsid w:val="008C2201"/>
    <w:rsid w:val="008C2C4D"/>
    <w:rsid w:val="008C332F"/>
    <w:rsid w:val="008C33F7"/>
    <w:rsid w:val="008C3982"/>
    <w:rsid w:val="008C4168"/>
    <w:rsid w:val="008C4BE0"/>
    <w:rsid w:val="008C4C44"/>
    <w:rsid w:val="008C5920"/>
    <w:rsid w:val="008C5AA6"/>
    <w:rsid w:val="008C5D02"/>
    <w:rsid w:val="008C5EB2"/>
    <w:rsid w:val="008C6B88"/>
    <w:rsid w:val="008C6F21"/>
    <w:rsid w:val="008C71CE"/>
    <w:rsid w:val="008C756B"/>
    <w:rsid w:val="008C78AC"/>
    <w:rsid w:val="008C7F5C"/>
    <w:rsid w:val="008D0186"/>
    <w:rsid w:val="008D0E9D"/>
    <w:rsid w:val="008D0FB2"/>
    <w:rsid w:val="008D1EAB"/>
    <w:rsid w:val="008D1F24"/>
    <w:rsid w:val="008D259E"/>
    <w:rsid w:val="008D26CB"/>
    <w:rsid w:val="008D2725"/>
    <w:rsid w:val="008D2806"/>
    <w:rsid w:val="008D2AD3"/>
    <w:rsid w:val="008D2D73"/>
    <w:rsid w:val="008D333C"/>
    <w:rsid w:val="008D41EB"/>
    <w:rsid w:val="008D4720"/>
    <w:rsid w:val="008D4945"/>
    <w:rsid w:val="008D53C9"/>
    <w:rsid w:val="008D5DD0"/>
    <w:rsid w:val="008D6AC6"/>
    <w:rsid w:val="008D6F45"/>
    <w:rsid w:val="008D736D"/>
    <w:rsid w:val="008D76A2"/>
    <w:rsid w:val="008D7914"/>
    <w:rsid w:val="008D79DF"/>
    <w:rsid w:val="008D7B62"/>
    <w:rsid w:val="008D7DD2"/>
    <w:rsid w:val="008E015A"/>
    <w:rsid w:val="008E0914"/>
    <w:rsid w:val="008E1016"/>
    <w:rsid w:val="008E10AC"/>
    <w:rsid w:val="008E1157"/>
    <w:rsid w:val="008E1AD5"/>
    <w:rsid w:val="008E1B95"/>
    <w:rsid w:val="008E2026"/>
    <w:rsid w:val="008E2B93"/>
    <w:rsid w:val="008E3491"/>
    <w:rsid w:val="008E3761"/>
    <w:rsid w:val="008E3F95"/>
    <w:rsid w:val="008E4A51"/>
    <w:rsid w:val="008E5135"/>
    <w:rsid w:val="008E5385"/>
    <w:rsid w:val="008E545C"/>
    <w:rsid w:val="008E54F2"/>
    <w:rsid w:val="008E5A0E"/>
    <w:rsid w:val="008E5D37"/>
    <w:rsid w:val="008E60BF"/>
    <w:rsid w:val="008E61B8"/>
    <w:rsid w:val="008E667F"/>
    <w:rsid w:val="008E6A44"/>
    <w:rsid w:val="008E6C11"/>
    <w:rsid w:val="008E6E7C"/>
    <w:rsid w:val="008E7116"/>
    <w:rsid w:val="008E77A3"/>
    <w:rsid w:val="008E7827"/>
    <w:rsid w:val="008E78C8"/>
    <w:rsid w:val="008E7BAF"/>
    <w:rsid w:val="008E7C09"/>
    <w:rsid w:val="008E7F93"/>
    <w:rsid w:val="008F0A30"/>
    <w:rsid w:val="008F1311"/>
    <w:rsid w:val="008F1A8F"/>
    <w:rsid w:val="008F1D9F"/>
    <w:rsid w:val="008F1FAA"/>
    <w:rsid w:val="008F1FC6"/>
    <w:rsid w:val="008F22B3"/>
    <w:rsid w:val="008F2D06"/>
    <w:rsid w:val="008F2D36"/>
    <w:rsid w:val="008F323F"/>
    <w:rsid w:val="008F339E"/>
    <w:rsid w:val="008F34C2"/>
    <w:rsid w:val="008F39E9"/>
    <w:rsid w:val="008F3F31"/>
    <w:rsid w:val="008F3F5C"/>
    <w:rsid w:val="008F410E"/>
    <w:rsid w:val="008F443D"/>
    <w:rsid w:val="008F44AB"/>
    <w:rsid w:val="008F4841"/>
    <w:rsid w:val="008F4C0B"/>
    <w:rsid w:val="008F62FB"/>
    <w:rsid w:val="008F63D2"/>
    <w:rsid w:val="008F65A9"/>
    <w:rsid w:val="008F67B8"/>
    <w:rsid w:val="008F6D08"/>
    <w:rsid w:val="008F71E3"/>
    <w:rsid w:val="009000C0"/>
    <w:rsid w:val="0090014E"/>
    <w:rsid w:val="009005E9"/>
    <w:rsid w:val="00900A10"/>
    <w:rsid w:val="00900F4B"/>
    <w:rsid w:val="00900F4E"/>
    <w:rsid w:val="0090119C"/>
    <w:rsid w:val="009016C3"/>
    <w:rsid w:val="00901C23"/>
    <w:rsid w:val="0090204A"/>
    <w:rsid w:val="00902763"/>
    <w:rsid w:val="00902859"/>
    <w:rsid w:val="0090463E"/>
    <w:rsid w:val="00904A58"/>
    <w:rsid w:val="00905214"/>
    <w:rsid w:val="009055DF"/>
    <w:rsid w:val="00905AC8"/>
    <w:rsid w:val="00905F0B"/>
    <w:rsid w:val="00906096"/>
    <w:rsid w:val="009060BC"/>
    <w:rsid w:val="009065F5"/>
    <w:rsid w:val="00906BF5"/>
    <w:rsid w:val="00906C85"/>
    <w:rsid w:val="009074DF"/>
    <w:rsid w:val="00907578"/>
    <w:rsid w:val="00907E3D"/>
    <w:rsid w:val="00907F5D"/>
    <w:rsid w:val="009100C3"/>
    <w:rsid w:val="0091036E"/>
    <w:rsid w:val="009106CE"/>
    <w:rsid w:val="00910AAD"/>
    <w:rsid w:val="00910D66"/>
    <w:rsid w:val="00910F14"/>
    <w:rsid w:val="0091144F"/>
    <w:rsid w:val="00911EEA"/>
    <w:rsid w:val="0091230B"/>
    <w:rsid w:val="009125F8"/>
    <w:rsid w:val="00912C63"/>
    <w:rsid w:val="00912CD1"/>
    <w:rsid w:val="00912CE4"/>
    <w:rsid w:val="00912E8E"/>
    <w:rsid w:val="0091307C"/>
    <w:rsid w:val="00913185"/>
    <w:rsid w:val="009138BB"/>
    <w:rsid w:val="0091398E"/>
    <w:rsid w:val="00913F04"/>
    <w:rsid w:val="00914522"/>
    <w:rsid w:val="009149B0"/>
    <w:rsid w:val="00914D97"/>
    <w:rsid w:val="00915269"/>
    <w:rsid w:val="0091541B"/>
    <w:rsid w:val="00917045"/>
    <w:rsid w:val="00917DCC"/>
    <w:rsid w:val="00920A32"/>
    <w:rsid w:val="00920FC4"/>
    <w:rsid w:val="00921D79"/>
    <w:rsid w:val="00922B26"/>
    <w:rsid w:val="00922E12"/>
    <w:rsid w:val="0092317C"/>
    <w:rsid w:val="009238F8"/>
    <w:rsid w:val="009239AC"/>
    <w:rsid w:val="009246C7"/>
    <w:rsid w:val="00924B9C"/>
    <w:rsid w:val="00924E12"/>
    <w:rsid w:val="00924F90"/>
    <w:rsid w:val="0092528E"/>
    <w:rsid w:val="00925A01"/>
    <w:rsid w:val="00925C98"/>
    <w:rsid w:val="009261EF"/>
    <w:rsid w:val="00926274"/>
    <w:rsid w:val="009262E6"/>
    <w:rsid w:val="00927379"/>
    <w:rsid w:val="009273B9"/>
    <w:rsid w:val="00927813"/>
    <w:rsid w:val="009301C2"/>
    <w:rsid w:val="00930957"/>
    <w:rsid w:val="00930AC3"/>
    <w:rsid w:val="0093136B"/>
    <w:rsid w:val="00931A8D"/>
    <w:rsid w:val="00932397"/>
    <w:rsid w:val="009331F5"/>
    <w:rsid w:val="00933290"/>
    <w:rsid w:val="00933519"/>
    <w:rsid w:val="009335A8"/>
    <w:rsid w:val="0093362E"/>
    <w:rsid w:val="0093371A"/>
    <w:rsid w:val="0093379A"/>
    <w:rsid w:val="00934B17"/>
    <w:rsid w:val="00934EF9"/>
    <w:rsid w:val="0093520B"/>
    <w:rsid w:val="00935315"/>
    <w:rsid w:val="0093574E"/>
    <w:rsid w:val="00935E57"/>
    <w:rsid w:val="00936121"/>
    <w:rsid w:val="00936265"/>
    <w:rsid w:val="00936401"/>
    <w:rsid w:val="00936762"/>
    <w:rsid w:val="009368B8"/>
    <w:rsid w:val="009368BF"/>
    <w:rsid w:val="00937353"/>
    <w:rsid w:val="00937399"/>
    <w:rsid w:val="00937ABC"/>
    <w:rsid w:val="009405B7"/>
    <w:rsid w:val="0094087F"/>
    <w:rsid w:val="00940A43"/>
    <w:rsid w:val="00940F81"/>
    <w:rsid w:val="009416D2"/>
    <w:rsid w:val="009418A6"/>
    <w:rsid w:val="00941E0F"/>
    <w:rsid w:val="009433D1"/>
    <w:rsid w:val="009435A4"/>
    <w:rsid w:val="00943A57"/>
    <w:rsid w:val="00943F30"/>
    <w:rsid w:val="0094417E"/>
    <w:rsid w:val="00944741"/>
    <w:rsid w:val="00944C81"/>
    <w:rsid w:val="00944FD9"/>
    <w:rsid w:val="00945054"/>
    <w:rsid w:val="00945082"/>
    <w:rsid w:val="0094592A"/>
    <w:rsid w:val="009459ED"/>
    <w:rsid w:val="00946A7E"/>
    <w:rsid w:val="00946DF0"/>
    <w:rsid w:val="009471D6"/>
    <w:rsid w:val="009477DB"/>
    <w:rsid w:val="00947933"/>
    <w:rsid w:val="00947AA4"/>
    <w:rsid w:val="00947EAB"/>
    <w:rsid w:val="009508C5"/>
    <w:rsid w:val="009513C0"/>
    <w:rsid w:val="009513FD"/>
    <w:rsid w:val="00951BCC"/>
    <w:rsid w:val="00951F39"/>
    <w:rsid w:val="009531C9"/>
    <w:rsid w:val="009535A1"/>
    <w:rsid w:val="00953956"/>
    <w:rsid w:val="00953AD7"/>
    <w:rsid w:val="00953B37"/>
    <w:rsid w:val="00953E7B"/>
    <w:rsid w:val="009546C1"/>
    <w:rsid w:val="00954815"/>
    <w:rsid w:val="00954CD4"/>
    <w:rsid w:val="00954E22"/>
    <w:rsid w:val="009550D8"/>
    <w:rsid w:val="009560EA"/>
    <w:rsid w:val="00956423"/>
    <w:rsid w:val="009564F9"/>
    <w:rsid w:val="009566D8"/>
    <w:rsid w:val="009571D8"/>
    <w:rsid w:val="0095734D"/>
    <w:rsid w:val="00957FA1"/>
    <w:rsid w:val="009600DE"/>
    <w:rsid w:val="009606D4"/>
    <w:rsid w:val="0096073A"/>
    <w:rsid w:val="00961664"/>
    <w:rsid w:val="0096196D"/>
    <w:rsid w:val="00962266"/>
    <w:rsid w:val="00962B7F"/>
    <w:rsid w:val="0096345E"/>
    <w:rsid w:val="009636E1"/>
    <w:rsid w:val="00963876"/>
    <w:rsid w:val="009638EF"/>
    <w:rsid w:val="009639B3"/>
    <w:rsid w:val="00963EC3"/>
    <w:rsid w:val="0096465C"/>
    <w:rsid w:val="0096593E"/>
    <w:rsid w:val="00965FC6"/>
    <w:rsid w:val="0096672D"/>
    <w:rsid w:val="0096693E"/>
    <w:rsid w:val="00966B07"/>
    <w:rsid w:val="00967480"/>
    <w:rsid w:val="009675F0"/>
    <w:rsid w:val="00967723"/>
    <w:rsid w:val="00967E1D"/>
    <w:rsid w:val="00970E26"/>
    <w:rsid w:val="00971438"/>
    <w:rsid w:val="009717C3"/>
    <w:rsid w:val="009719F8"/>
    <w:rsid w:val="00972FF6"/>
    <w:rsid w:val="009733A8"/>
    <w:rsid w:val="009736C6"/>
    <w:rsid w:val="009737A8"/>
    <w:rsid w:val="009737E3"/>
    <w:rsid w:val="00973C9D"/>
    <w:rsid w:val="00974220"/>
    <w:rsid w:val="009751E4"/>
    <w:rsid w:val="00975596"/>
    <w:rsid w:val="0097560C"/>
    <w:rsid w:val="00975BC3"/>
    <w:rsid w:val="00975E08"/>
    <w:rsid w:val="00975F25"/>
    <w:rsid w:val="00976042"/>
    <w:rsid w:val="00976169"/>
    <w:rsid w:val="009763E2"/>
    <w:rsid w:val="00976832"/>
    <w:rsid w:val="00976D2D"/>
    <w:rsid w:val="00977735"/>
    <w:rsid w:val="00977D1C"/>
    <w:rsid w:val="00980AFF"/>
    <w:rsid w:val="009810E6"/>
    <w:rsid w:val="00981215"/>
    <w:rsid w:val="00981B16"/>
    <w:rsid w:val="00981FF3"/>
    <w:rsid w:val="009823F2"/>
    <w:rsid w:val="009823FB"/>
    <w:rsid w:val="00982886"/>
    <w:rsid w:val="00983F60"/>
    <w:rsid w:val="009848B4"/>
    <w:rsid w:val="00986218"/>
    <w:rsid w:val="009862B4"/>
    <w:rsid w:val="00986AFC"/>
    <w:rsid w:val="00986E5E"/>
    <w:rsid w:val="00987100"/>
    <w:rsid w:val="009871A2"/>
    <w:rsid w:val="0098747E"/>
    <w:rsid w:val="00987640"/>
    <w:rsid w:val="00987668"/>
    <w:rsid w:val="00987A42"/>
    <w:rsid w:val="00987E37"/>
    <w:rsid w:val="00987EB8"/>
    <w:rsid w:val="00991182"/>
    <w:rsid w:val="00991896"/>
    <w:rsid w:val="009918E5"/>
    <w:rsid w:val="00991B22"/>
    <w:rsid w:val="00991B42"/>
    <w:rsid w:val="00991CB5"/>
    <w:rsid w:val="009921A6"/>
    <w:rsid w:val="0099257B"/>
    <w:rsid w:val="00992A20"/>
    <w:rsid w:val="009931B0"/>
    <w:rsid w:val="009931F3"/>
    <w:rsid w:val="009934F4"/>
    <w:rsid w:val="00993939"/>
    <w:rsid w:val="0099397D"/>
    <w:rsid w:val="00994149"/>
    <w:rsid w:val="009944E4"/>
    <w:rsid w:val="009945D1"/>
    <w:rsid w:val="009949FD"/>
    <w:rsid w:val="009952D7"/>
    <w:rsid w:val="009953D3"/>
    <w:rsid w:val="00995765"/>
    <w:rsid w:val="009959C8"/>
    <w:rsid w:val="009959CC"/>
    <w:rsid w:val="00995B94"/>
    <w:rsid w:val="00995EE2"/>
    <w:rsid w:val="009960DC"/>
    <w:rsid w:val="00996134"/>
    <w:rsid w:val="00996272"/>
    <w:rsid w:val="0099645A"/>
    <w:rsid w:val="009965C6"/>
    <w:rsid w:val="009966D5"/>
    <w:rsid w:val="009969F9"/>
    <w:rsid w:val="009974E0"/>
    <w:rsid w:val="009978D3"/>
    <w:rsid w:val="00997EE9"/>
    <w:rsid w:val="009A05BE"/>
    <w:rsid w:val="009A0918"/>
    <w:rsid w:val="009A096D"/>
    <w:rsid w:val="009A12E1"/>
    <w:rsid w:val="009A1954"/>
    <w:rsid w:val="009A1A11"/>
    <w:rsid w:val="009A3948"/>
    <w:rsid w:val="009A3AE5"/>
    <w:rsid w:val="009A3CDC"/>
    <w:rsid w:val="009A43C9"/>
    <w:rsid w:val="009A4BF1"/>
    <w:rsid w:val="009A4CB4"/>
    <w:rsid w:val="009A4DBE"/>
    <w:rsid w:val="009A4F3E"/>
    <w:rsid w:val="009A5681"/>
    <w:rsid w:val="009A56D4"/>
    <w:rsid w:val="009A57F7"/>
    <w:rsid w:val="009A5B1F"/>
    <w:rsid w:val="009A5EE2"/>
    <w:rsid w:val="009A6094"/>
    <w:rsid w:val="009A6211"/>
    <w:rsid w:val="009A650C"/>
    <w:rsid w:val="009A6EF7"/>
    <w:rsid w:val="009A77FF"/>
    <w:rsid w:val="009B055D"/>
    <w:rsid w:val="009B07DD"/>
    <w:rsid w:val="009B08FE"/>
    <w:rsid w:val="009B15AC"/>
    <w:rsid w:val="009B1B1F"/>
    <w:rsid w:val="009B20F0"/>
    <w:rsid w:val="009B2250"/>
    <w:rsid w:val="009B2433"/>
    <w:rsid w:val="009B2B53"/>
    <w:rsid w:val="009B2B89"/>
    <w:rsid w:val="009B2BDB"/>
    <w:rsid w:val="009B2E1C"/>
    <w:rsid w:val="009B2F38"/>
    <w:rsid w:val="009B36EF"/>
    <w:rsid w:val="009B37CA"/>
    <w:rsid w:val="009B393B"/>
    <w:rsid w:val="009B3F22"/>
    <w:rsid w:val="009B462D"/>
    <w:rsid w:val="009B49FE"/>
    <w:rsid w:val="009B4D3C"/>
    <w:rsid w:val="009B5FDC"/>
    <w:rsid w:val="009B64BF"/>
    <w:rsid w:val="009B661A"/>
    <w:rsid w:val="009B6950"/>
    <w:rsid w:val="009B6A39"/>
    <w:rsid w:val="009B6D5E"/>
    <w:rsid w:val="009B6F23"/>
    <w:rsid w:val="009B7268"/>
    <w:rsid w:val="009C0488"/>
    <w:rsid w:val="009C0493"/>
    <w:rsid w:val="009C11FD"/>
    <w:rsid w:val="009C1826"/>
    <w:rsid w:val="009C1941"/>
    <w:rsid w:val="009C1DAE"/>
    <w:rsid w:val="009C1FB1"/>
    <w:rsid w:val="009C2385"/>
    <w:rsid w:val="009C329D"/>
    <w:rsid w:val="009C3523"/>
    <w:rsid w:val="009C3651"/>
    <w:rsid w:val="009C36EA"/>
    <w:rsid w:val="009C3F60"/>
    <w:rsid w:val="009C3FD3"/>
    <w:rsid w:val="009C4800"/>
    <w:rsid w:val="009C497E"/>
    <w:rsid w:val="009C4C44"/>
    <w:rsid w:val="009C52C9"/>
    <w:rsid w:val="009C61B1"/>
    <w:rsid w:val="009C6EDB"/>
    <w:rsid w:val="009C71DD"/>
    <w:rsid w:val="009C7A3F"/>
    <w:rsid w:val="009C7D9B"/>
    <w:rsid w:val="009D02C5"/>
    <w:rsid w:val="009D0554"/>
    <w:rsid w:val="009D168F"/>
    <w:rsid w:val="009D1727"/>
    <w:rsid w:val="009D1DFB"/>
    <w:rsid w:val="009D1E36"/>
    <w:rsid w:val="009D1EA4"/>
    <w:rsid w:val="009D21C3"/>
    <w:rsid w:val="009D2553"/>
    <w:rsid w:val="009D36F7"/>
    <w:rsid w:val="009D3D08"/>
    <w:rsid w:val="009D3FB7"/>
    <w:rsid w:val="009D40BE"/>
    <w:rsid w:val="009D450F"/>
    <w:rsid w:val="009D4E9A"/>
    <w:rsid w:val="009D624B"/>
    <w:rsid w:val="009D630F"/>
    <w:rsid w:val="009D67DD"/>
    <w:rsid w:val="009D6909"/>
    <w:rsid w:val="009D6ABF"/>
    <w:rsid w:val="009D6E3A"/>
    <w:rsid w:val="009D6EF2"/>
    <w:rsid w:val="009D732E"/>
    <w:rsid w:val="009D7381"/>
    <w:rsid w:val="009D73C0"/>
    <w:rsid w:val="009D7902"/>
    <w:rsid w:val="009D7EAD"/>
    <w:rsid w:val="009E00C9"/>
    <w:rsid w:val="009E07ED"/>
    <w:rsid w:val="009E1BAC"/>
    <w:rsid w:val="009E206B"/>
    <w:rsid w:val="009E3B4D"/>
    <w:rsid w:val="009E3D6E"/>
    <w:rsid w:val="009E40F5"/>
    <w:rsid w:val="009E46A3"/>
    <w:rsid w:val="009E55A8"/>
    <w:rsid w:val="009E5942"/>
    <w:rsid w:val="009E6610"/>
    <w:rsid w:val="009E6BB6"/>
    <w:rsid w:val="009F02E5"/>
    <w:rsid w:val="009F07EF"/>
    <w:rsid w:val="009F09F6"/>
    <w:rsid w:val="009F0DCF"/>
    <w:rsid w:val="009F14C6"/>
    <w:rsid w:val="009F15AD"/>
    <w:rsid w:val="009F1725"/>
    <w:rsid w:val="009F18E6"/>
    <w:rsid w:val="009F211A"/>
    <w:rsid w:val="009F24E4"/>
    <w:rsid w:val="009F2AB2"/>
    <w:rsid w:val="009F31A7"/>
    <w:rsid w:val="009F391F"/>
    <w:rsid w:val="009F3D71"/>
    <w:rsid w:val="009F3E8D"/>
    <w:rsid w:val="009F414E"/>
    <w:rsid w:val="009F418B"/>
    <w:rsid w:val="009F42DF"/>
    <w:rsid w:val="009F4368"/>
    <w:rsid w:val="009F45BE"/>
    <w:rsid w:val="009F4663"/>
    <w:rsid w:val="009F49DF"/>
    <w:rsid w:val="009F4B1D"/>
    <w:rsid w:val="009F4DAE"/>
    <w:rsid w:val="009F52A4"/>
    <w:rsid w:val="009F5327"/>
    <w:rsid w:val="009F54F8"/>
    <w:rsid w:val="009F5B8B"/>
    <w:rsid w:val="009F5BA8"/>
    <w:rsid w:val="009F63CF"/>
    <w:rsid w:val="009F63D0"/>
    <w:rsid w:val="009F6932"/>
    <w:rsid w:val="009F69C6"/>
    <w:rsid w:val="009F6D38"/>
    <w:rsid w:val="009F6DAE"/>
    <w:rsid w:val="009F6ED0"/>
    <w:rsid w:val="009F723B"/>
    <w:rsid w:val="009F78CE"/>
    <w:rsid w:val="009F78D8"/>
    <w:rsid w:val="009F797F"/>
    <w:rsid w:val="009F7C3A"/>
    <w:rsid w:val="009F7EE2"/>
    <w:rsid w:val="00A00254"/>
    <w:rsid w:val="00A009AA"/>
    <w:rsid w:val="00A01229"/>
    <w:rsid w:val="00A022DB"/>
    <w:rsid w:val="00A025C2"/>
    <w:rsid w:val="00A027CD"/>
    <w:rsid w:val="00A02A81"/>
    <w:rsid w:val="00A0328C"/>
    <w:rsid w:val="00A039E3"/>
    <w:rsid w:val="00A04079"/>
    <w:rsid w:val="00A05C92"/>
    <w:rsid w:val="00A05DA1"/>
    <w:rsid w:val="00A064E4"/>
    <w:rsid w:val="00A066FC"/>
    <w:rsid w:val="00A07285"/>
    <w:rsid w:val="00A074C4"/>
    <w:rsid w:val="00A076D5"/>
    <w:rsid w:val="00A079A5"/>
    <w:rsid w:val="00A07F46"/>
    <w:rsid w:val="00A102FA"/>
    <w:rsid w:val="00A10D29"/>
    <w:rsid w:val="00A10E09"/>
    <w:rsid w:val="00A11A36"/>
    <w:rsid w:val="00A11B6A"/>
    <w:rsid w:val="00A13587"/>
    <w:rsid w:val="00A135DD"/>
    <w:rsid w:val="00A13A2A"/>
    <w:rsid w:val="00A13C8B"/>
    <w:rsid w:val="00A13D8A"/>
    <w:rsid w:val="00A1436D"/>
    <w:rsid w:val="00A149E9"/>
    <w:rsid w:val="00A1537E"/>
    <w:rsid w:val="00A15588"/>
    <w:rsid w:val="00A159F5"/>
    <w:rsid w:val="00A160A9"/>
    <w:rsid w:val="00A16283"/>
    <w:rsid w:val="00A17061"/>
    <w:rsid w:val="00A170D2"/>
    <w:rsid w:val="00A17176"/>
    <w:rsid w:val="00A17B5D"/>
    <w:rsid w:val="00A203D1"/>
    <w:rsid w:val="00A2076F"/>
    <w:rsid w:val="00A2132B"/>
    <w:rsid w:val="00A21787"/>
    <w:rsid w:val="00A21946"/>
    <w:rsid w:val="00A2287A"/>
    <w:rsid w:val="00A22A11"/>
    <w:rsid w:val="00A22CF4"/>
    <w:rsid w:val="00A23110"/>
    <w:rsid w:val="00A236AF"/>
    <w:rsid w:val="00A23739"/>
    <w:rsid w:val="00A23FD3"/>
    <w:rsid w:val="00A24A87"/>
    <w:rsid w:val="00A24C95"/>
    <w:rsid w:val="00A24E57"/>
    <w:rsid w:val="00A25261"/>
    <w:rsid w:val="00A25451"/>
    <w:rsid w:val="00A25984"/>
    <w:rsid w:val="00A25BD4"/>
    <w:rsid w:val="00A25BF3"/>
    <w:rsid w:val="00A25C04"/>
    <w:rsid w:val="00A25C9E"/>
    <w:rsid w:val="00A25CCA"/>
    <w:rsid w:val="00A2650E"/>
    <w:rsid w:val="00A266A5"/>
    <w:rsid w:val="00A26B74"/>
    <w:rsid w:val="00A26E3C"/>
    <w:rsid w:val="00A26ECE"/>
    <w:rsid w:val="00A27046"/>
    <w:rsid w:val="00A27206"/>
    <w:rsid w:val="00A2762A"/>
    <w:rsid w:val="00A27F2E"/>
    <w:rsid w:val="00A300D8"/>
    <w:rsid w:val="00A301F2"/>
    <w:rsid w:val="00A305AB"/>
    <w:rsid w:val="00A30E1E"/>
    <w:rsid w:val="00A30E44"/>
    <w:rsid w:val="00A30EB8"/>
    <w:rsid w:val="00A3101E"/>
    <w:rsid w:val="00A315EF"/>
    <w:rsid w:val="00A31AD9"/>
    <w:rsid w:val="00A31C09"/>
    <w:rsid w:val="00A31C6D"/>
    <w:rsid w:val="00A31D9E"/>
    <w:rsid w:val="00A32A95"/>
    <w:rsid w:val="00A33275"/>
    <w:rsid w:val="00A33BD1"/>
    <w:rsid w:val="00A33F64"/>
    <w:rsid w:val="00A33FB0"/>
    <w:rsid w:val="00A3477E"/>
    <w:rsid w:val="00A34931"/>
    <w:rsid w:val="00A34FBD"/>
    <w:rsid w:val="00A364FF"/>
    <w:rsid w:val="00A36C47"/>
    <w:rsid w:val="00A36D0C"/>
    <w:rsid w:val="00A3767F"/>
    <w:rsid w:val="00A378D7"/>
    <w:rsid w:val="00A4041B"/>
    <w:rsid w:val="00A40909"/>
    <w:rsid w:val="00A40CD6"/>
    <w:rsid w:val="00A40F15"/>
    <w:rsid w:val="00A41EB4"/>
    <w:rsid w:val="00A421F8"/>
    <w:rsid w:val="00A424FF"/>
    <w:rsid w:val="00A429E8"/>
    <w:rsid w:val="00A42AD4"/>
    <w:rsid w:val="00A42D92"/>
    <w:rsid w:val="00A42DE9"/>
    <w:rsid w:val="00A43272"/>
    <w:rsid w:val="00A433F7"/>
    <w:rsid w:val="00A43D7D"/>
    <w:rsid w:val="00A4423F"/>
    <w:rsid w:val="00A44667"/>
    <w:rsid w:val="00A4485C"/>
    <w:rsid w:val="00A44A7E"/>
    <w:rsid w:val="00A4548E"/>
    <w:rsid w:val="00A45974"/>
    <w:rsid w:val="00A45AA3"/>
    <w:rsid w:val="00A45C36"/>
    <w:rsid w:val="00A45E24"/>
    <w:rsid w:val="00A46024"/>
    <w:rsid w:val="00A46907"/>
    <w:rsid w:val="00A46E60"/>
    <w:rsid w:val="00A473D6"/>
    <w:rsid w:val="00A47665"/>
    <w:rsid w:val="00A477E5"/>
    <w:rsid w:val="00A47DA4"/>
    <w:rsid w:val="00A500D2"/>
    <w:rsid w:val="00A504EB"/>
    <w:rsid w:val="00A505AB"/>
    <w:rsid w:val="00A5063E"/>
    <w:rsid w:val="00A508C9"/>
    <w:rsid w:val="00A51021"/>
    <w:rsid w:val="00A5112E"/>
    <w:rsid w:val="00A512E1"/>
    <w:rsid w:val="00A51624"/>
    <w:rsid w:val="00A52423"/>
    <w:rsid w:val="00A5274B"/>
    <w:rsid w:val="00A52BD9"/>
    <w:rsid w:val="00A52D07"/>
    <w:rsid w:val="00A5328D"/>
    <w:rsid w:val="00A535B9"/>
    <w:rsid w:val="00A535C8"/>
    <w:rsid w:val="00A53B93"/>
    <w:rsid w:val="00A54003"/>
    <w:rsid w:val="00A54952"/>
    <w:rsid w:val="00A55037"/>
    <w:rsid w:val="00A5522A"/>
    <w:rsid w:val="00A55315"/>
    <w:rsid w:val="00A553A4"/>
    <w:rsid w:val="00A5541D"/>
    <w:rsid w:val="00A55600"/>
    <w:rsid w:val="00A559E4"/>
    <w:rsid w:val="00A55CBA"/>
    <w:rsid w:val="00A55D00"/>
    <w:rsid w:val="00A55EF7"/>
    <w:rsid w:val="00A56157"/>
    <w:rsid w:val="00A562B3"/>
    <w:rsid w:val="00A56912"/>
    <w:rsid w:val="00A577DB"/>
    <w:rsid w:val="00A57E0F"/>
    <w:rsid w:val="00A57F0C"/>
    <w:rsid w:val="00A57F30"/>
    <w:rsid w:val="00A6088C"/>
    <w:rsid w:val="00A60B41"/>
    <w:rsid w:val="00A60DB4"/>
    <w:rsid w:val="00A610B1"/>
    <w:rsid w:val="00A61197"/>
    <w:rsid w:val="00A61316"/>
    <w:rsid w:val="00A6145C"/>
    <w:rsid w:val="00A62FE4"/>
    <w:rsid w:val="00A6358A"/>
    <w:rsid w:val="00A637F7"/>
    <w:rsid w:val="00A640BC"/>
    <w:rsid w:val="00A645DB"/>
    <w:rsid w:val="00A646CC"/>
    <w:rsid w:val="00A64EA9"/>
    <w:rsid w:val="00A65290"/>
    <w:rsid w:val="00A654C4"/>
    <w:rsid w:val="00A662DB"/>
    <w:rsid w:val="00A664F2"/>
    <w:rsid w:val="00A67223"/>
    <w:rsid w:val="00A6751B"/>
    <w:rsid w:val="00A677C2"/>
    <w:rsid w:val="00A67B1F"/>
    <w:rsid w:val="00A700F7"/>
    <w:rsid w:val="00A704D1"/>
    <w:rsid w:val="00A719C8"/>
    <w:rsid w:val="00A71DD7"/>
    <w:rsid w:val="00A72103"/>
    <w:rsid w:val="00A72B65"/>
    <w:rsid w:val="00A72F1C"/>
    <w:rsid w:val="00A73098"/>
    <w:rsid w:val="00A7327B"/>
    <w:rsid w:val="00A736D2"/>
    <w:rsid w:val="00A73CEE"/>
    <w:rsid w:val="00A73E6C"/>
    <w:rsid w:val="00A745A1"/>
    <w:rsid w:val="00A75346"/>
    <w:rsid w:val="00A75358"/>
    <w:rsid w:val="00A75369"/>
    <w:rsid w:val="00A757B4"/>
    <w:rsid w:val="00A759A3"/>
    <w:rsid w:val="00A75C44"/>
    <w:rsid w:val="00A75FD5"/>
    <w:rsid w:val="00A76D2A"/>
    <w:rsid w:val="00A7726C"/>
    <w:rsid w:val="00A77276"/>
    <w:rsid w:val="00A774E5"/>
    <w:rsid w:val="00A7755F"/>
    <w:rsid w:val="00A77611"/>
    <w:rsid w:val="00A77793"/>
    <w:rsid w:val="00A77B5C"/>
    <w:rsid w:val="00A77D07"/>
    <w:rsid w:val="00A77F0B"/>
    <w:rsid w:val="00A80249"/>
    <w:rsid w:val="00A8083B"/>
    <w:rsid w:val="00A80FDF"/>
    <w:rsid w:val="00A81060"/>
    <w:rsid w:val="00A8123C"/>
    <w:rsid w:val="00A815D9"/>
    <w:rsid w:val="00A816A8"/>
    <w:rsid w:val="00A818C2"/>
    <w:rsid w:val="00A81998"/>
    <w:rsid w:val="00A81AC4"/>
    <w:rsid w:val="00A81D81"/>
    <w:rsid w:val="00A81E0D"/>
    <w:rsid w:val="00A823A2"/>
    <w:rsid w:val="00A824E2"/>
    <w:rsid w:val="00A827C3"/>
    <w:rsid w:val="00A82DA2"/>
    <w:rsid w:val="00A8330A"/>
    <w:rsid w:val="00A83C15"/>
    <w:rsid w:val="00A83D5B"/>
    <w:rsid w:val="00A846C7"/>
    <w:rsid w:val="00A84C48"/>
    <w:rsid w:val="00A8523D"/>
    <w:rsid w:val="00A8534F"/>
    <w:rsid w:val="00A8584A"/>
    <w:rsid w:val="00A85A14"/>
    <w:rsid w:val="00A85A32"/>
    <w:rsid w:val="00A8646D"/>
    <w:rsid w:val="00A864B5"/>
    <w:rsid w:val="00A8651D"/>
    <w:rsid w:val="00A86862"/>
    <w:rsid w:val="00A871D3"/>
    <w:rsid w:val="00A90055"/>
    <w:rsid w:val="00A90842"/>
    <w:rsid w:val="00A90FB5"/>
    <w:rsid w:val="00A912DF"/>
    <w:rsid w:val="00A913B2"/>
    <w:rsid w:val="00A91548"/>
    <w:rsid w:val="00A91767"/>
    <w:rsid w:val="00A9239A"/>
    <w:rsid w:val="00A92BC7"/>
    <w:rsid w:val="00A92F2A"/>
    <w:rsid w:val="00A9303E"/>
    <w:rsid w:val="00A94317"/>
    <w:rsid w:val="00A946E7"/>
    <w:rsid w:val="00A94EEB"/>
    <w:rsid w:val="00A9557D"/>
    <w:rsid w:val="00A95B2F"/>
    <w:rsid w:val="00A96209"/>
    <w:rsid w:val="00A96264"/>
    <w:rsid w:val="00A96FF7"/>
    <w:rsid w:val="00A9725A"/>
    <w:rsid w:val="00A97FF1"/>
    <w:rsid w:val="00AA0234"/>
    <w:rsid w:val="00AA0F9B"/>
    <w:rsid w:val="00AA1096"/>
    <w:rsid w:val="00AA1623"/>
    <w:rsid w:val="00AA1B6F"/>
    <w:rsid w:val="00AA1BA0"/>
    <w:rsid w:val="00AA22DC"/>
    <w:rsid w:val="00AA2560"/>
    <w:rsid w:val="00AA2797"/>
    <w:rsid w:val="00AA2803"/>
    <w:rsid w:val="00AA28BD"/>
    <w:rsid w:val="00AA33B4"/>
    <w:rsid w:val="00AA365C"/>
    <w:rsid w:val="00AA3E5A"/>
    <w:rsid w:val="00AA3F7C"/>
    <w:rsid w:val="00AA4343"/>
    <w:rsid w:val="00AA45E1"/>
    <w:rsid w:val="00AA4715"/>
    <w:rsid w:val="00AA47BD"/>
    <w:rsid w:val="00AA55CA"/>
    <w:rsid w:val="00AA580A"/>
    <w:rsid w:val="00AA583D"/>
    <w:rsid w:val="00AA5C12"/>
    <w:rsid w:val="00AA5ED5"/>
    <w:rsid w:val="00AA61D4"/>
    <w:rsid w:val="00AA658F"/>
    <w:rsid w:val="00AA68B2"/>
    <w:rsid w:val="00AA700F"/>
    <w:rsid w:val="00AA70DC"/>
    <w:rsid w:val="00AB0068"/>
    <w:rsid w:val="00AB01E7"/>
    <w:rsid w:val="00AB05EA"/>
    <w:rsid w:val="00AB0991"/>
    <w:rsid w:val="00AB0C58"/>
    <w:rsid w:val="00AB12A0"/>
    <w:rsid w:val="00AB1BB9"/>
    <w:rsid w:val="00AB2457"/>
    <w:rsid w:val="00AB3055"/>
    <w:rsid w:val="00AB37E6"/>
    <w:rsid w:val="00AB3CBB"/>
    <w:rsid w:val="00AB3CE9"/>
    <w:rsid w:val="00AB4140"/>
    <w:rsid w:val="00AB4165"/>
    <w:rsid w:val="00AB4A44"/>
    <w:rsid w:val="00AB4AD4"/>
    <w:rsid w:val="00AB50E9"/>
    <w:rsid w:val="00AB5193"/>
    <w:rsid w:val="00AB5545"/>
    <w:rsid w:val="00AB5876"/>
    <w:rsid w:val="00AB5BA7"/>
    <w:rsid w:val="00AB61CD"/>
    <w:rsid w:val="00AB63F3"/>
    <w:rsid w:val="00AB68B4"/>
    <w:rsid w:val="00AB6B2B"/>
    <w:rsid w:val="00AB6B7C"/>
    <w:rsid w:val="00AB7019"/>
    <w:rsid w:val="00AB72B1"/>
    <w:rsid w:val="00AB7424"/>
    <w:rsid w:val="00AB757B"/>
    <w:rsid w:val="00AB7599"/>
    <w:rsid w:val="00AB7649"/>
    <w:rsid w:val="00AB7911"/>
    <w:rsid w:val="00AB7C7E"/>
    <w:rsid w:val="00AC0659"/>
    <w:rsid w:val="00AC067F"/>
    <w:rsid w:val="00AC07C4"/>
    <w:rsid w:val="00AC095A"/>
    <w:rsid w:val="00AC0D04"/>
    <w:rsid w:val="00AC1578"/>
    <w:rsid w:val="00AC1749"/>
    <w:rsid w:val="00AC1A86"/>
    <w:rsid w:val="00AC1B07"/>
    <w:rsid w:val="00AC21C8"/>
    <w:rsid w:val="00AC27C0"/>
    <w:rsid w:val="00AC2C0F"/>
    <w:rsid w:val="00AC3119"/>
    <w:rsid w:val="00AC3237"/>
    <w:rsid w:val="00AC3A11"/>
    <w:rsid w:val="00AC3B5E"/>
    <w:rsid w:val="00AC3C58"/>
    <w:rsid w:val="00AC429F"/>
    <w:rsid w:val="00AC455D"/>
    <w:rsid w:val="00AC45B3"/>
    <w:rsid w:val="00AC4D2A"/>
    <w:rsid w:val="00AC4FC6"/>
    <w:rsid w:val="00AC5924"/>
    <w:rsid w:val="00AC6176"/>
    <w:rsid w:val="00AC64D2"/>
    <w:rsid w:val="00AC64F8"/>
    <w:rsid w:val="00AC662A"/>
    <w:rsid w:val="00AC6EE2"/>
    <w:rsid w:val="00AC7076"/>
    <w:rsid w:val="00AC7701"/>
    <w:rsid w:val="00AC7A0B"/>
    <w:rsid w:val="00AC7A9D"/>
    <w:rsid w:val="00AC7ED0"/>
    <w:rsid w:val="00AD0A89"/>
    <w:rsid w:val="00AD1D4C"/>
    <w:rsid w:val="00AD2579"/>
    <w:rsid w:val="00AD2A53"/>
    <w:rsid w:val="00AD2A67"/>
    <w:rsid w:val="00AD2F0F"/>
    <w:rsid w:val="00AD32DF"/>
    <w:rsid w:val="00AD34BD"/>
    <w:rsid w:val="00AD3700"/>
    <w:rsid w:val="00AD41B3"/>
    <w:rsid w:val="00AD530C"/>
    <w:rsid w:val="00AD5EEC"/>
    <w:rsid w:val="00AD624A"/>
    <w:rsid w:val="00AD6805"/>
    <w:rsid w:val="00AD6B09"/>
    <w:rsid w:val="00AD7375"/>
    <w:rsid w:val="00AD79FF"/>
    <w:rsid w:val="00AD7BDC"/>
    <w:rsid w:val="00AD7F8E"/>
    <w:rsid w:val="00AE015D"/>
    <w:rsid w:val="00AE0387"/>
    <w:rsid w:val="00AE0DC4"/>
    <w:rsid w:val="00AE23CE"/>
    <w:rsid w:val="00AE2439"/>
    <w:rsid w:val="00AE2F07"/>
    <w:rsid w:val="00AE3F3F"/>
    <w:rsid w:val="00AE4319"/>
    <w:rsid w:val="00AE43C4"/>
    <w:rsid w:val="00AE4479"/>
    <w:rsid w:val="00AE4A5D"/>
    <w:rsid w:val="00AE4C01"/>
    <w:rsid w:val="00AE58A2"/>
    <w:rsid w:val="00AE5FDC"/>
    <w:rsid w:val="00AE6119"/>
    <w:rsid w:val="00AE78AA"/>
    <w:rsid w:val="00AF0423"/>
    <w:rsid w:val="00AF04BA"/>
    <w:rsid w:val="00AF0664"/>
    <w:rsid w:val="00AF0BF4"/>
    <w:rsid w:val="00AF1386"/>
    <w:rsid w:val="00AF1577"/>
    <w:rsid w:val="00AF183A"/>
    <w:rsid w:val="00AF1C91"/>
    <w:rsid w:val="00AF2804"/>
    <w:rsid w:val="00AF3264"/>
    <w:rsid w:val="00AF3557"/>
    <w:rsid w:val="00AF3747"/>
    <w:rsid w:val="00AF39D0"/>
    <w:rsid w:val="00AF3BB5"/>
    <w:rsid w:val="00AF3E65"/>
    <w:rsid w:val="00AF40CF"/>
    <w:rsid w:val="00AF4275"/>
    <w:rsid w:val="00AF437B"/>
    <w:rsid w:val="00AF469E"/>
    <w:rsid w:val="00AF4932"/>
    <w:rsid w:val="00AF4A0B"/>
    <w:rsid w:val="00AF5152"/>
    <w:rsid w:val="00AF54B1"/>
    <w:rsid w:val="00AF59EA"/>
    <w:rsid w:val="00AF5D5B"/>
    <w:rsid w:val="00AF6584"/>
    <w:rsid w:val="00AF67CD"/>
    <w:rsid w:val="00AF7918"/>
    <w:rsid w:val="00B00072"/>
    <w:rsid w:val="00B0050B"/>
    <w:rsid w:val="00B0076E"/>
    <w:rsid w:val="00B009C0"/>
    <w:rsid w:val="00B00C67"/>
    <w:rsid w:val="00B01676"/>
    <w:rsid w:val="00B01760"/>
    <w:rsid w:val="00B01D27"/>
    <w:rsid w:val="00B01D93"/>
    <w:rsid w:val="00B037AF"/>
    <w:rsid w:val="00B03934"/>
    <w:rsid w:val="00B04367"/>
    <w:rsid w:val="00B04ACF"/>
    <w:rsid w:val="00B04E6E"/>
    <w:rsid w:val="00B0514E"/>
    <w:rsid w:val="00B051ED"/>
    <w:rsid w:val="00B05656"/>
    <w:rsid w:val="00B05CA6"/>
    <w:rsid w:val="00B05F41"/>
    <w:rsid w:val="00B0606D"/>
    <w:rsid w:val="00B0639B"/>
    <w:rsid w:val="00B06458"/>
    <w:rsid w:val="00B065BA"/>
    <w:rsid w:val="00B066B7"/>
    <w:rsid w:val="00B067E5"/>
    <w:rsid w:val="00B06964"/>
    <w:rsid w:val="00B06A04"/>
    <w:rsid w:val="00B06A35"/>
    <w:rsid w:val="00B06D31"/>
    <w:rsid w:val="00B0744E"/>
    <w:rsid w:val="00B079F2"/>
    <w:rsid w:val="00B07E4C"/>
    <w:rsid w:val="00B1009F"/>
    <w:rsid w:val="00B10661"/>
    <w:rsid w:val="00B10C00"/>
    <w:rsid w:val="00B110CF"/>
    <w:rsid w:val="00B11398"/>
    <w:rsid w:val="00B11A83"/>
    <w:rsid w:val="00B122F3"/>
    <w:rsid w:val="00B124BA"/>
    <w:rsid w:val="00B12CB2"/>
    <w:rsid w:val="00B13533"/>
    <w:rsid w:val="00B13C04"/>
    <w:rsid w:val="00B13C84"/>
    <w:rsid w:val="00B13D64"/>
    <w:rsid w:val="00B14551"/>
    <w:rsid w:val="00B1609F"/>
    <w:rsid w:val="00B1656C"/>
    <w:rsid w:val="00B166F0"/>
    <w:rsid w:val="00B16A68"/>
    <w:rsid w:val="00B172A6"/>
    <w:rsid w:val="00B179DE"/>
    <w:rsid w:val="00B17AE5"/>
    <w:rsid w:val="00B17EF5"/>
    <w:rsid w:val="00B20384"/>
    <w:rsid w:val="00B204B3"/>
    <w:rsid w:val="00B2068D"/>
    <w:rsid w:val="00B20D06"/>
    <w:rsid w:val="00B20F11"/>
    <w:rsid w:val="00B21190"/>
    <w:rsid w:val="00B21194"/>
    <w:rsid w:val="00B21321"/>
    <w:rsid w:val="00B21387"/>
    <w:rsid w:val="00B21710"/>
    <w:rsid w:val="00B219CA"/>
    <w:rsid w:val="00B22251"/>
    <w:rsid w:val="00B234A3"/>
    <w:rsid w:val="00B23703"/>
    <w:rsid w:val="00B239D6"/>
    <w:rsid w:val="00B23BB6"/>
    <w:rsid w:val="00B23BF3"/>
    <w:rsid w:val="00B23ED3"/>
    <w:rsid w:val="00B24209"/>
    <w:rsid w:val="00B249DC"/>
    <w:rsid w:val="00B24B91"/>
    <w:rsid w:val="00B24CAF"/>
    <w:rsid w:val="00B2597F"/>
    <w:rsid w:val="00B25C7E"/>
    <w:rsid w:val="00B25DBD"/>
    <w:rsid w:val="00B26577"/>
    <w:rsid w:val="00B26B87"/>
    <w:rsid w:val="00B27367"/>
    <w:rsid w:val="00B27B0D"/>
    <w:rsid w:val="00B306F3"/>
    <w:rsid w:val="00B30973"/>
    <w:rsid w:val="00B30F8D"/>
    <w:rsid w:val="00B310A4"/>
    <w:rsid w:val="00B3203A"/>
    <w:rsid w:val="00B325E6"/>
    <w:rsid w:val="00B327F2"/>
    <w:rsid w:val="00B32D04"/>
    <w:rsid w:val="00B32FE1"/>
    <w:rsid w:val="00B33205"/>
    <w:rsid w:val="00B33500"/>
    <w:rsid w:val="00B344B2"/>
    <w:rsid w:val="00B3459C"/>
    <w:rsid w:val="00B34978"/>
    <w:rsid w:val="00B34A69"/>
    <w:rsid w:val="00B34FC7"/>
    <w:rsid w:val="00B356F6"/>
    <w:rsid w:val="00B35858"/>
    <w:rsid w:val="00B35ADB"/>
    <w:rsid w:val="00B3600B"/>
    <w:rsid w:val="00B36D6B"/>
    <w:rsid w:val="00B3711F"/>
    <w:rsid w:val="00B371EA"/>
    <w:rsid w:val="00B37948"/>
    <w:rsid w:val="00B404B2"/>
    <w:rsid w:val="00B409A0"/>
    <w:rsid w:val="00B409FA"/>
    <w:rsid w:val="00B42701"/>
    <w:rsid w:val="00B427E2"/>
    <w:rsid w:val="00B42E5C"/>
    <w:rsid w:val="00B43BD2"/>
    <w:rsid w:val="00B4435C"/>
    <w:rsid w:val="00B449D3"/>
    <w:rsid w:val="00B44A52"/>
    <w:rsid w:val="00B44AE4"/>
    <w:rsid w:val="00B44AE6"/>
    <w:rsid w:val="00B4563E"/>
    <w:rsid w:val="00B4598E"/>
    <w:rsid w:val="00B46162"/>
    <w:rsid w:val="00B465C6"/>
    <w:rsid w:val="00B466D1"/>
    <w:rsid w:val="00B46F05"/>
    <w:rsid w:val="00B500A4"/>
    <w:rsid w:val="00B505D0"/>
    <w:rsid w:val="00B50A3D"/>
    <w:rsid w:val="00B5125D"/>
    <w:rsid w:val="00B5155B"/>
    <w:rsid w:val="00B51936"/>
    <w:rsid w:val="00B519CD"/>
    <w:rsid w:val="00B51E0D"/>
    <w:rsid w:val="00B52046"/>
    <w:rsid w:val="00B5211A"/>
    <w:rsid w:val="00B52E22"/>
    <w:rsid w:val="00B52EBB"/>
    <w:rsid w:val="00B52FE1"/>
    <w:rsid w:val="00B53077"/>
    <w:rsid w:val="00B5336D"/>
    <w:rsid w:val="00B53D3B"/>
    <w:rsid w:val="00B53ECF"/>
    <w:rsid w:val="00B53ED3"/>
    <w:rsid w:val="00B5433F"/>
    <w:rsid w:val="00B54C74"/>
    <w:rsid w:val="00B54E58"/>
    <w:rsid w:val="00B55006"/>
    <w:rsid w:val="00B550FB"/>
    <w:rsid w:val="00B56614"/>
    <w:rsid w:val="00B5684A"/>
    <w:rsid w:val="00B56B56"/>
    <w:rsid w:val="00B57109"/>
    <w:rsid w:val="00B57114"/>
    <w:rsid w:val="00B5725C"/>
    <w:rsid w:val="00B57351"/>
    <w:rsid w:val="00B57596"/>
    <w:rsid w:val="00B60799"/>
    <w:rsid w:val="00B60ECB"/>
    <w:rsid w:val="00B6163A"/>
    <w:rsid w:val="00B61842"/>
    <w:rsid w:val="00B62C1B"/>
    <w:rsid w:val="00B62FE2"/>
    <w:rsid w:val="00B63746"/>
    <w:rsid w:val="00B64620"/>
    <w:rsid w:val="00B6600F"/>
    <w:rsid w:val="00B663AC"/>
    <w:rsid w:val="00B6668C"/>
    <w:rsid w:val="00B66C14"/>
    <w:rsid w:val="00B66CCB"/>
    <w:rsid w:val="00B66D55"/>
    <w:rsid w:val="00B66E94"/>
    <w:rsid w:val="00B67313"/>
    <w:rsid w:val="00B67686"/>
    <w:rsid w:val="00B6775F"/>
    <w:rsid w:val="00B677B3"/>
    <w:rsid w:val="00B677C8"/>
    <w:rsid w:val="00B67AC1"/>
    <w:rsid w:val="00B67E54"/>
    <w:rsid w:val="00B67F0D"/>
    <w:rsid w:val="00B70569"/>
    <w:rsid w:val="00B70D8D"/>
    <w:rsid w:val="00B70ED0"/>
    <w:rsid w:val="00B71319"/>
    <w:rsid w:val="00B715F6"/>
    <w:rsid w:val="00B716DA"/>
    <w:rsid w:val="00B7274A"/>
    <w:rsid w:val="00B737F7"/>
    <w:rsid w:val="00B73CB5"/>
    <w:rsid w:val="00B74796"/>
    <w:rsid w:val="00B74841"/>
    <w:rsid w:val="00B754AC"/>
    <w:rsid w:val="00B75FE6"/>
    <w:rsid w:val="00B7628A"/>
    <w:rsid w:val="00B77990"/>
    <w:rsid w:val="00B77E1B"/>
    <w:rsid w:val="00B80E52"/>
    <w:rsid w:val="00B80F3F"/>
    <w:rsid w:val="00B81025"/>
    <w:rsid w:val="00B81135"/>
    <w:rsid w:val="00B811D0"/>
    <w:rsid w:val="00B8132A"/>
    <w:rsid w:val="00B81B28"/>
    <w:rsid w:val="00B8262C"/>
    <w:rsid w:val="00B8282A"/>
    <w:rsid w:val="00B82AF7"/>
    <w:rsid w:val="00B82CCB"/>
    <w:rsid w:val="00B8304F"/>
    <w:rsid w:val="00B83487"/>
    <w:rsid w:val="00B83614"/>
    <w:rsid w:val="00B83B73"/>
    <w:rsid w:val="00B83CFD"/>
    <w:rsid w:val="00B84047"/>
    <w:rsid w:val="00B84452"/>
    <w:rsid w:val="00B84564"/>
    <w:rsid w:val="00B8462B"/>
    <w:rsid w:val="00B84827"/>
    <w:rsid w:val="00B84C39"/>
    <w:rsid w:val="00B84F9A"/>
    <w:rsid w:val="00B850B4"/>
    <w:rsid w:val="00B85368"/>
    <w:rsid w:val="00B859B2"/>
    <w:rsid w:val="00B85A11"/>
    <w:rsid w:val="00B85F8C"/>
    <w:rsid w:val="00B860D5"/>
    <w:rsid w:val="00B866C7"/>
    <w:rsid w:val="00B8765D"/>
    <w:rsid w:val="00B8784A"/>
    <w:rsid w:val="00B87C7F"/>
    <w:rsid w:val="00B90752"/>
    <w:rsid w:val="00B907BA"/>
    <w:rsid w:val="00B9099E"/>
    <w:rsid w:val="00B91BFC"/>
    <w:rsid w:val="00B91D36"/>
    <w:rsid w:val="00B91D79"/>
    <w:rsid w:val="00B9213F"/>
    <w:rsid w:val="00B927C4"/>
    <w:rsid w:val="00B92FD1"/>
    <w:rsid w:val="00B933DF"/>
    <w:rsid w:val="00B9357C"/>
    <w:rsid w:val="00B93E57"/>
    <w:rsid w:val="00B94510"/>
    <w:rsid w:val="00B94A9D"/>
    <w:rsid w:val="00B94B75"/>
    <w:rsid w:val="00B94E05"/>
    <w:rsid w:val="00B9575B"/>
    <w:rsid w:val="00B959D2"/>
    <w:rsid w:val="00B962FE"/>
    <w:rsid w:val="00B96411"/>
    <w:rsid w:val="00B96A3F"/>
    <w:rsid w:val="00B96ABA"/>
    <w:rsid w:val="00B96C2C"/>
    <w:rsid w:val="00B97597"/>
    <w:rsid w:val="00B97B1C"/>
    <w:rsid w:val="00B97DDB"/>
    <w:rsid w:val="00BA0234"/>
    <w:rsid w:val="00BA0289"/>
    <w:rsid w:val="00BA0329"/>
    <w:rsid w:val="00BA041D"/>
    <w:rsid w:val="00BA0822"/>
    <w:rsid w:val="00BA0D6A"/>
    <w:rsid w:val="00BA119F"/>
    <w:rsid w:val="00BA160A"/>
    <w:rsid w:val="00BA17E7"/>
    <w:rsid w:val="00BA1999"/>
    <w:rsid w:val="00BA2084"/>
    <w:rsid w:val="00BA357F"/>
    <w:rsid w:val="00BA3652"/>
    <w:rsid w:val="00BA373E"/>
    <w:rsid w:val="00BA3843"/>
    <w:rsid w:val="00BA3E7E"/>
    <w:rsid w:val="00BA3FFA"/>
    <w:rsid w:val="00BA4051"/>
    <w:rsid w:val="00BA4689"/>
    <w:rsid w:val="00BA4D28"/>
    <w:rsid w:val="00BA4E13"/>
    <w:rsid w:val="00BA5506"/>
    <w:rsid w:val="00BA55E3"/>
    <w:rsid w:val="00BA5DA1"/>
    <w:rsid w:val="00BA5EB9"/>
    <w:rsid w:val="00BA63B3"/>
    <w:rsid w:val="00BA63ED"/>
    <w:rsid w:val="00BA6F93"/>
    <w:rsid w:val="00BA736E"/>
    <w:rsid w:val="00BA7855"/>
    <w:rsid w:val="00BA7DDD"/>
    <w:rsid w:val="00BA7FA1"/>
    <w:rsid w:val="00BB075E"/>
    <w:rsid w:val="00BB0771"/>
    <w:rsid w:val="00BB0E4F"/>
    <w:rsid w:val="00BB0ECE"/>
    <w:rsid w:val="00BB10E7"/>
    <w:rsid w:val="00BB2158"/>
    <w:rsid w:val="00BB2B4A"/>
    <w:rsid w:val="00BB2BC7"/>
    <w:rsid w:val="00BB3402"/>
    <w:rsid w:val="00BB419F"/>
    <w:rsid w:val="00BB5367"/>
    <w:rsid w:val="00BB55F8"/>
    <w:rsid w:val="00BB57B6"/>
    <w:rsid w:val="00BB5938"/>
    <w:rsid w:val="00BB5AE4"/>
    <w:rsid w:val="00BB5E5D"/>
    <w:rsid w:val="00BB620F"/>
    <w:rsid w:val="00BB625F"/>
    <w:rsid w:val="00BB67DC"/>
    <w:rsid w:val="00BB6DF1"/>
    <w:rsid w:val="00BB6FBB"/>
    <w:rsid w:val="00BB73D7"/>
    <w:rsid w:val="00BB784E"/>
    <w:rsid w:val="00BB78B5"/>
    <w:rsid w:val="00BB7B1E"/>
    <w:rsid w:val="00BB7E3E"/>
    <w:rsid w:val="00BC001F"/>
    <w:rsid w:val="00BC063F"/>
    <w:rsid w:val="00BC1288"/>
    <w:rsid w:val="00BC16C1"/>
    <w:rsid w:val="00BC20CC"/>
    <w:rsid w:val="00BC222C"/>
    <w:rsid w:val="00BC229C"/>
    <w:rsid w:val="00BC2857"/>
    <w:rsid w:val="00BC302C"/>
    <w:rsid w:val="00BC3222"/>
    <w:rsid w:val="00BC3342"/>
    <w:rsid w:val="00BC36DE"/>
    <w:rsid w:val="00BC467B"/>
    <w:rsid w:val="00BC4B7B"/>
    <w:rsid w:val="00BC5BB8"/>
    <w:rsid w:val="00BC622C"/>
    <w:rsid w:val="00BC6B3B"/>
    <w:rsid w:val="00BC755D"/>
    <w:rsid w:val="00BC7B20"/>
    <w:rsid w:val="00BC7C5E"/>
    <w:rsid w:val="00BD0263"/>
    <w:rsid w:val="00BD02F6"/>
    <w:rsid w:val="00BD0E9A"/>
    <w:rsid w:val="00BD117A"/>
    <w:rsid w:val="00BD12B8"/>
    <w:rsid w:val="00BD1404"/>
    <w:rsid w:val="00BD155C"/>
    <w:rsid w:val="00BD1B28"/>
    <w:rsid w:val="00BD1E81"/>
    <w:rsid w:val="00BD1EAC"/>
    <w:rsid w:val="00BD1FA3"/>
    <w:rsid w:val="00BD273E"/>
    <w:rsid w:val="00BD2A74"/>
    <w:rsid w:val="00BD2AEE"/>
    <w:rsid w:val="00BD2C57"/>
    <w:rsid w:val="00BD3097"/>
    <w:rsid w:val="00BD3596"/>
    <w:rsid w:val="00BD3CF1"/>
    <w:rsid w:val="00BD4C48"/>
    <w:rsid w:val="00BD5457"/>
    <w:rsid w:val="00BD5651"/>
    <w:rsid w:val="00BD6F9F"/>
    <w:rsid w:val="00BD7322"/>
    <w:rsid w:val="00BD7957"/>
    <w:rsid w:val="00BE0336"/>
    <w:rsid w:val="00BE036B"/>
    <w:rsid w:val="00BE05DB"/>
    <w:rsid w:val="00BE0AED"/>
    <w:rsid w:val="00BE1107"/>
    <w:rsid w:val="00BE19A4"/>
    <w:rsid w:val="00BE1B9A"/>
    <w:rsid w:val="00BE1D56"/>
    <w:rsid w:val="00BE25DF"/>
    <w:rsid w:val="00BE2825"/>
    <w:rsid w:val="00BE2A94"/>
    <w:rsid w:val="00BE3421"/>
    <w:rsid w:val="00BE347E"/>
    <w:rsid w:val="00BE34BF"/>
    <w:rsid w:val="00BE352C"/>
    <w:rsid w:val="00BE357B"/>
    <w:rsid w:val="00BE3A1F"/>
    <w:rsid w:val="00BE3F4C"/>
    <w:rsid w:val="00BE4610"/>
    <w:rsid w:val="00BE4A32"/>
    <w:rsid w:val="00BE50BC"/>
    <w:rsid w:val="00BE592A"/>
    <w:rsid w:val="00BE5A63"/>
    <w:rsid w:val="00BE5AF1"/>
    <w:rsid w:val="00BE659F"/>
    <w:rsid w:val="00BE7278"/>
    <w:rsid w:val="00BF0F5C"/>
    <w:rsid w:val="00BF1976"/>
    <w:rsid w:val="00BF1AB2"/>
    <w:rsid w:val="00BF1AE6"/>
    <w:rsid w:val="00BF1CB6"/>
    <w:rsid w:val="00BF2943"/>
    <w:rsid w:val="00BF2947"/>
    <w:rsid w:val="00BF2DDA"/>
    <w:rsid w:val="00BF2E3A"/>
    <w:rsid w:val="00BF32C8"/>
    <w:rsid w:val="00BF367F"/>
    <w:rsid w:val="00BF443B"/>
    <w:rsid w:val="00BF4B3D"/>
    <w:rsid w:val="00BF4BF2"/>
    <w:rsid w:val="00BF4F9C"/>
    <w:rsid w:val="00BF50D8"/>
    <w:rsid w:val="00BF5517"/>
    <w:rsid w:val="00BF56AC"/>
    <w:rsid w:val="00BF5874"/>
    <w:rsid w:val="00BF5C15"/>
    <w:rsid w:val="00BF5C1D"/>
    <w:rsid w:val="00BF5C64"/>
    <w:rsid w:val="00BF5CEA"/>
    <w:rsid w:val="00BF6ADE"/>
    <w:rsid w:val="00BF6DEE"/>
    <w:rsid w:val="00BF6ED8"/>
    <w:rsid w:val="00BF7156"/>
    <w:rsid w:val="00BF765A"/>
    <w:rsid w:val="00BF76BE"/>
    <w:rsid w:val="00BF7725"/>
    <w:rsid w:val="00C0022E"/>
    <w:rsid w:val="00C00A82"/>
    <w:rsid w:val="00C00BC0"/>
    <w:rsid w:val="00C015AD"/>
    <w:rsid w:val="00C01BEF"/>
    <w:rsid w:val="00C02073"/>
    <w:rsid w:val="00C0278E"/>
    <w:rsid w:val="00C02F4F"/>
    <w:rsid w:val="00C03285"/>
    <w:rsid w:val="00C03964"/>
    <w:rsid w:val="00C03F3D"/>
    <w:rsid w:val="00C0402A"/>
    <w:rsid w:val="00C041B7"/>
    <w:rsid w:val="00C0491D"/>
    <w:rsid w:val="00C04D1E"/>
    <w:rsid w:val="00C04E77"/>
    <w:rsid w:val="00C05260"/>
    <w:rsid w:val="00C059AD"/>
    <w:rsid w:val="00C05AE3"/>
    <w:rsid w:val="00C05D49"/>
    <w:rsid w:val="00C065F3"/>
    <w:rsid w:val="00C07003"/>
    <w:rsid w:val="00C078FB"/>
    <w:rsid w:val="00C07A85"/>
    <w:rsid w:val="00C07CDD"/>
    <w:rsid w:val="00C100E2"/>
    <w:rsid w:val="00C103EC"/>
    <w:rsid w:val="00C1080A"/>
    <w:rsid w:val="00C114F8"/>
    <w:rsid w:val="00C125B0"/>
    <w:rsid w:val="00C1260E"/>
    <w:rsid w:val="00C12B05"/>
    <w:rsid w:val="00C12CE5"/>
    <w:rsid w:val="00C13154"/>
    <w:rsid w:val="00C13A80"/>
    <w:rsid w:val="00C13BE7"/>
    <w:rsid w:val="00C1406B"/>
    <w:rsid w:val="00C142EC"/>
    <w:rsid w:val="00C1487D"/>
    <w:rsid w:val="00C14A2A"/>
    <w:rsid w:val="00C14BB9"/>
    <w:rsid w:val="00C14ED6"/>
    <w:rsid w:val="00C150EF"/>
    <w:rsid w:val="00C15BFE"/>
    <w:rsid w:val="00C15D65"/>
    <w:rsid w:val="00C16690"/>
    <w:rsid w:val="00C166BD"/>
    <w:rsid w:val="00C169AE"/>
    <w:rsid w:val="00C16DFA"/>
    <w:rsid w:val="00C17009"/>
    <w:rsid w:val="00C17A05"/>
    <w:rsid w:val="00C17E8E"/>
    <w:rsid w:val="00C205C5"/>
    <w:rsid w:val="00C20754"/>
    <w:rsid w:val="00C21371"/>
    <w:rsid w:val="00C21A06"/>
    <w:rsid w:val="00C228ED"/>
    <w:rsid w:val="00C22A61"/>
    <w:rsid w:val="00C23923"/>
    <w:rsid w:val="00C23AF4"/>
    <w:rsid w:val="00C241C2"/>
    <w:rsid w:val="00C24725"/>
    <w:rsid w:val="00C248B6"/>
    <w:rsid w:val="00C249C5"/>
    <w:rsid w:val="00C24C11"/>
    <w:rsid w:val="00C24DED"/>
    <w:rsid w:val="00C2512F"/>
    <w:rsid w:val="00C2526E"/>
    <w:rsid w:val="00C25FEB"/>
    <w:rsid w:val="00C26304"/>
    <w:rsid w:val="00C26AA4"/>
    <w:rsid w:val="00C26B45"/>
    <w:rsid w:val="00C26D61"/>
    <w:rsid w:val="00C271CA"/>
    <w:rsid w:val="00C272AF"/>
    <w:rsid w:val="00C27555"/>
    <w:rsid w:val="00C27648"/>
    <w:rsid w:val="00C27664"/>
    <w:rsid w:val="00C27810"/>
    <w:rsid w:val="00C30907"/>
    <w:rsid w:val="00C30A43"/>
    <w:rsid w:val="00C30B31"/>
    <w:rsid w:val="00C30E4E"/>
    <w:rsid w:val="00C30F23"/>
    <w:rsid w:val="00C3181E"/>
    <w:rsid w:val="00C31C62"/>
    <w:rsid w:val="00C32151"/>
    <w:rsid w:val="00C327D2"/>
    <w:rsid w:val="00C330AF"/>
    <w:rsid w:val="00C33B39"/>
    <w:rsid w:val="00C33F86"/>
    <w:rsid w:val="00C346AB"/>
    <w:rsid w:val="00C35463"/>
    <w:rsid w:val="00C35662"/>
    <w:rsid w:val="00C3627B"/>
    <w:rsid w:val="00C37568"/>
    <w:rsid w:val="00C378FF"/>
    <w:rsid w:val="00C40493"/>
    <w:rsid w:val="00C405B1"/>
    <w:rsid w:val="00C408A2"/>
    <w:rsid w:val="00C41094"/>
    <w:rsid w:val="00C41463"/>
    <w:rsid w:val="00C41592"/>
    <w:rsid w:val="00C41878"/>
    <w:rsid w:val="00C4228C"/>
    <w:rsid w:val="00C42534"/>
    <w:rsid w:val="00C42B08"/>
    <w:rsid w:val="00C43268"/>
    <w:rsid w:val="00C43A45"/>
    <w:rsid w:val="00C43CAA"/>
    <w:rsid w:val="00C43CB8"/>
    <w:rsid w:val="00C443B1"/>
    <w:rsid w:val="00C446A7"/>
    <w:rsid w:val="00C45584"/>
    <w:rsid w:val="00C4633A"/>
    <w:rsid w:val="00C46437"/>
    <w:rsid w:val="00C46CC4"/>
    <w:rsid w:val="00C474A3"/>
    <w:rsid w:val="00C47AFE"/>
    <w:rsid w:val="00C504E6"/>
    <w:rsid w:val="00C50D78"/>
    <w:rsid w:val="00C5199F"/>
    <w:rsid w:val="00C51E4A"/>
    <w:rsid w:val="00C524B8"/>
    <w:rsid w:val="00C52A8F"/>
    <w:rsid w:val="00C533D3"/>
    <w:rsid w:val="00C534D5"/>
    <w:rsid w:val="00C5357D"/>
    <w:rsid w:val="00C5389E"/>
    <w:rsid w:val="00C53E9B"/>
    <w:rsid w:val="00C544BE"/>
    <w:rsid w:val="00C54E6F"/>
    <w:rsid w:val="00C55068"/>
    <w:rsid w:val="00C5579F"/>
    <w:rsid w:val="00C5595B"/>
    <w:rsid w:val="00C559D2"/>
    <w:rsid w:val="00C55A98"/>
    <w:rsid w:val="00C561A9"/>
    <w:rsid w:val="00C56663"/>
    <w:rsid w:val="00C56E5D"/>
    <w:rsid w:val="00C57140"/>
    <w:rsid w:val="00C574C1"/>
    <w:rsid w:val="00C60EFF"/>
    <w:rsid w:val="00C61136"/>
    <w:rsid w:val="00C6127D"/>
    <w:rsid w:val="00C61697"/>
    <w:rsid w:val="00C61B41"/>
    <w:rsid w:val="00C61DFD"/>
    <w:rsid w:val="00C6250C"/>
    <w:rsid w:val="00C625C0"/>
    <w:rsid w:val="00C63139"/>
    <w:rsid w:val="00C63879"/>
    <w:rsid w:val="00C63B8C"/>
    <w:rsid w:val="00C63F97"/>
    <w:rsid w:val="00C6409A"/>
    <w:rsid w:val="00C64897"/>
    <w:rsid w:val="00C64A51"/>
    <w:rsid w:val="00C65C20"/>
    <w:rsid w:val="00C6602A"/>
    <w:rsid w:val="00C6632F"/>
    <w:rsid w:val="00C66726"/>
    <w:rsid w:val="00C66C9A"/>
    <w:rsid w:val="00C66DA5"/>
    <w:rsid w:val="00C66F80"/>
    <w:rsid w:val="00C67202"/>
    <w:rsid w:val="00C673BD"/>
    <w:rsid w:val="00C675D7"/>
    <w:rsid w:val="00C676F6"/>
    <w:rsid w:val="00C678D5"/>
    <w:rsid w:val="00C67917"/>
    <w:rsid w:val="00C700EC"/>
    <w:rsid w:val="00C70305"/>
    <w:rsid w:val="00C703A6"/>
    <w:rsid w:val="00C7066B"/>
    <w:rsid w:val="00C715E5"/>
    <w:rsid w:val="00C71E97"/>
    <w:rsid w:val="00C722BA"/>
    <w:rsid w:val="00C7256A"/>
    <w:rsid w:val="00C725EA"/>
    <w:rsid w:val="00C7280C"/>
    <w:rsid w:val="00C734DF"/>
    <w:rsid w:val="00C74675"/>
    <w:rsid w:val="00C746C3"/>
    <w:rsid w:val="00C74858"/>
    <w:rsid w:val="00C748E5"/>
    <w:rsid w:val="00C749BB"/>
    <w:rsid w:val="00C74AA3"/>
    <w:rsid w:val="00C74C95"/>
    <w:rsid w:val="00C74ECA"/>
    <w:rsid w:val="00C7510D"/>
    <w:rsid w:val="00C753E8"/>
    <w:rsid w:val="00C757E0"/>
    <w:rsid w:val="00C759E9"/>
    <w:rsid w:val="00C75B88"/>
    <w:rsid w:val="00C76AA6"/>
    <w:rsid w:val="00C76B6E"/>
    <w:rsid w:val="00C76C63"/>
    <w:rsid w:val="00C76E21"/>
    <w:rsid w:val="00C774E9"/>
    <w:rsid w:val="00C77A8D"/>
    <w:rsid w:val="00C77AA6"/>
    <w:rsid w:val="00C80133"/>
    <w:rsid w:val="00C80B2D"/>
    <w:rsid w:val="00C810C4"/>
    <w:rsid w:val="00C81C88"/>
    <w:rsid w:val="00C81E10"/>
    <w:rsid w:val="00C8227E"/>
    <w:rsid w:val="00C828D8"/>
    <w:rsid w:val="00C82944"/>
    <w:rsid w:val="00C82AC6"/>
    <w:rsid w:val="00C82BC7"/>
    <w:rsid w:val="00C835BC"/>
    <w:rsid w:val="00C838F1"/>
    <w:rsid w:val="00C83BB4"/>
    <w:rsid w:val="00C83F79"/>
    <w:rsid w:val="00C842ED"/>
    <w:rsid w:val="00C8533E"/>
    <w:rsid w:val="00C85864"/>
    <w:rsid w:val="00C858C8"/>
    <w:rsid w:val="00C8608E"/>
    <w:rsid w:val="00C866D7"/>
    <w:rsid w:val="00C86709"/>
    <w:rsid w:val="00C86966"/>
    <w:rsid w:val="00C86986"/>
    <w:rsid w:val="00C86E39"/>
    <w:rsid w:val="00C87236"/>
    <w:rsid w:val="00C8764A"/>
    <w:rsid w:val="00C87C2C"/>
    <w:rsid w:val="00C87EDB"/>
    <w:rsid w:val="00C90035"/>
    <w:rsid w:val="00C9021B"/>
    <w:rsid w:val="00C907B6"/>
    <w:rsid w:val="00C907B9"/>
    <w:rsid w:val="00C90CCD"/>
    <w:rsid w:val="00C9105C"/>
    <w:rsid w:val="00C92461"/>
    <w:rsid w:val="00C92705"/>
    <w:rsid w:val="00C9297C"/>
    <w:rsid w:val="00C92FCB"/>
    <w:rsid w:val="00C9425F"/>
    <w:rsid w:val="00C94AF2"/>
    <w:rsid w:val="00C95AF3"/>
    <w:rsid w:val="00C960F8"/>
    <w:rsid w:val="00C96BA8"/>
    <w:rsid w:val="00C9719D"/>
    <w:rsid w:val="00C97267"/>
    <w:rsid w:val="00C978D4"/>
    <w:rsid w:val="00C979B8"/>
    <w:rsid w:val="00C97B4B"/>
    <w:rsid w:val="00CA015D"/>
    <w:rsid w:val="00CA0362"/>
    <w:rsid w:val="00CA05BF"/>
    <w:rsid w:val="00CA0DF2"/>
    <w:rsid w:val="00CA1302"/>
    <w:rsid w:val="00CA1DB3"/>
    <w:rsid w:val="00CA2021"/>
    <w:rsid w:val="00CA24CD"/>
    <w:rsid w:val="00CA25A5"/>
    <w:rsid w:val="00CA2658"/>
    <w:rsid w:val="00CA2E1E"/>
    <w:rsid w:val="00CA2F2F"/>
    <w:rsid w:val="00CA2F47"/>
    <w:rsid w:val="00CA3291"/>
    <w:rsid w:val="00CA3317"/>
    <w:rsid w:val="00CA3723"/>
    <w:rsid w:val="00CA4502"/>
    <w:rsid w:val="00CA5494"/>
    <w:rsid w:val="00CA5801"/>
    <w:rsid w:val="00CA5B55"/>
    <w:rsid w:val="00CA5B75"/>
    <w:rsid w:val="00CA5C5E"/>
    <w:rsid w:val="00CA5E8A"/>
    <w:rsid w:val="00CA6714"/>
    <w:rsid w:val="00CA6867"/>
    <w:rsid w:val="00CA6ADE"/>
    <w:rsid w:val="00CA6E0D"/>
    <w:rsid w:val="00CA7516"/>
    <w:rsid w:val="00CA7818"/>
    <w:rsid w:val="00CA7868"/>
    <w:rsid w:val="00CA7A97"/>
    <w:rsid w:val="00CA7B8C"/>
    <w:rsid w:val="00CA7D84"/>
    <w:rsid w:val="00CB1447"/>
    <w:rsid w:val="00CB15E3"/>
    <w:rsid w:val="00CB1CC5"/>
    <w:rsid w:val="00CB1DDD"/>
    <w:rsid w:val="00CB246A"/>
    <w:rsid w:val="00CB2541"/>
    <w:rsid w:val="00CB2E41"/>
    <w:rsid w:val="00CB315A"/>
    <w:rsid w:val="00CB383F"/>
    <w:rsid w:val="00CB3B8D"/>
    <w:rsid w:val="00CB3EA1"/>
    <w:rsid w:val="00CB42AC"/>
    <w:rsid w:val="00CB4709"/>
    <w:rsid w:val="00CB4E53"/>
    <w:rsid w:val="00CB4EE6"/>
    <w:rsid w:val="00CB545B"/>
    <w:rsid w:val="00CB55C4"/>
    <w:rsid w:val="00CB5933"/>
    <w:rsid w:val="00CB63A2"/>
    <w:rsid w:val="00CB65AA"/>
    <w:rsid w:val="00CB6C96"/>
    <w:rsid w:val="00CB6DDD"/>
    <w:rsid w:val="00CB7546"/>
    <w:rsid w:val="00CB7DFD"/>
    <w:rsid w:val="00CC031C"/>
    <w:rsid w:val="00CC069F"/>
    <w:rsid w:val="00CC08A8"/>
    <w:rsid w:val="00CC08B4"/>
    <w:rsid w:val="00CC0C7A"/>
    <w:rsid w:val="00CC0DEB"/>
    <w:rsid w:val="00CC0E4D"/>
    <w:rsid w:val="00CC14DB"/>
    <w:rsid w:val="00CC1ABD"/>
    <w:rsid w:val="00CC1D41"/>
    <w:rsid w:val="00CC1EEC"/>
    <w:rsid w:val="00CC287A"/>
    <w:rsid w:val="00CC2E1A"/>
    <w:rsid w:val="00CC3D0A"/>
    <w:rsid w:val="00CC42CD"/>
    <w:rsid w:val="00CC4540"/>
    <w:rsid w:val="00CC47A6"/>
    <w:rsid w:val="00CC4AA4"/>
    <w:rsid w:val="00CC4E4A"/>
    <w:rsid w:val="00CC5707"/>
    <w:rsid w:val="00CC5EEC"/>
    <w:rsid w:val="00CC6462"/>
    <w:rsid w:val="00CC6EFC"/>
    <w:rsid w:val="00CC71FE"/>
    <w:rsid w:val="00CC74EF"/>
    <w:rsid w:val="00CD0460"/>
    <w:rsid w:val="00CD0C0F"/>
    <w:rsid w:val="00CD1190"/>
    <w:rsid w:val="00CD25F2"/>
    <w:rsid w:val="00CD3657"/>
    <w:rsid w:val="00CD3C7D"/>
    <w:rsid w:val="00CD41EF"/>
    <w:rsid w:val="00CD474E"/>
    <w:rsid w:val="00CD4FB3"/>
    <w:rsid w:val="00CD6109"/>
    <w:rsid w:val="00CD6814"/>
    <w:rsid w:val="00CD7235"/>
    <w:rsid w:val="00CD751F"/>
    <w:rsid w:val="00CD76E6"/>
    <w:rsid w:val="00CD7780"/>
    <w:rsid w:val="00CD7D83"/>
    <w:rsid w:val="00CE09C1"/>
    <w:rsid w:val="00CE09C5"/>
    <w:rsid w:val="00CE0B04"/>
    <w:rsid w:val="00CE0BDA"/>
    <w:rsid w:val="00CE125B"/>
    <w:rsid w:val="00CE12E5"/>
    <w:rsid w:val="00CE13FF"/>
    <w:rsid w:val="00CE1A52"/>
    <w:rsid w:val="00CE249C"/>
    <w:rsid w:val="00CE2577"/>
    <w:rsid w:val="00CE2D4E"/>
    <w:rsid w:val="00CE2D55"/>
    <w:rsid w:val="00CE35DB"/>
    <w:rsid w:val="00CE36FA"/>
    <w:rsid w:val="00CE3B57"/>
    <w:rsid w:val="00CE3C1A"/>
    <w:rsid w:val="00CE3CC2"/>
    <w:rsid w:val="00CE3D32"/>
    <w:rsid w:val="00CE43E0"/>
    <w:rsid w:val="00CE44FE"/>
    <w:rsid w:val="00CE4985"/>
    <w:rsid w:val="00CE49BB"/>
    <w:rsid w:val="00CE4BF3"/>
    <w:rsid w:val="00CE4F77"/>
    <w:rsid w:val="00CE547A"/>
    <w:rsid w:val="00CE560C"/>
    <w:rsid w:val="00CE5707"/>
    <w:rsid w:val="00CE6237"/>
    <w:rsid w:val="00CE6593"/>
    <w:rsid w:val="00CE6837"/>
    <w:rsid w:val="00CE693A"/>
    <w:rsid w:val="00CE69B4"/>
    <w:rsid w:val="00CE6A53"/>
    <w:rsid w:val="00CE6EFD"/>
    <w:rsid w:val="00CE6FEB"/>
    <w:rsid w:val="00CE7CE3"/>
    <w:rsid w:val="00CE7F06"/>
    <w:rsid w:val="00CF07E4"/>
    <w:rsid w:val="00CF13BA"/>
    <w:rsid w:val="00CF16A8"/>
    <w:rsid w:val="00CF1EEE"/>
    <w:rsid w:val="00CF203E"/>
    <w:rsid w:val="00CF284B"/>
    <w:rsid w:val="00CF29D3"/>
    <w:rsid w:val="00CF2B09"/>
    <w:rsid w:val="00CF2BBF"/>
    <w:rsid w:val="00CF2C13"/>
    <w:rsid w:val="00CF2D2F"/>
    <w:rsid w:val="00CF2F76"/>
    <w:rsid w:val="00CF40F9"/>
    <w:rsid w:val="00CF431A"/>
    <w:rsid w:val="00CF45B0"/>
    <w:rsid w:val="00CF4638"/>
    <w:rsid w:val="00CF4A72"/>
    <w:rsid w:val="00CF4E04"/>
    <w:rsid w:val="00CF4F20"/>
    <w:rsid w:val="00CF4F30"/>
    <w:rsid w:val="00CF53A2"/>
    <w:rsid w:val="00CF548E"/>
    <w:rsid w:val="00CF5924"/>
    <w:rsid w:val="00CF5E9F"/>
    <w:rsid w:val="00CF61DB"/>
    <w:rsid w:val="00CF6807"/>
    <w:rsid w:val="00CF6899"/>
    <w:rsid w:val="00CF6D1F"/>
    <w:rsid w:val="00CF6E9C"/>
    <w:rsid w:val="00CF7113"/>
    <w:rsid w:val="00CF725E"/>
    <w:rsid w:val="00CF7262"/>
    <w:rsid w:val="00CF79ED"/>
    <w:rsid w:val="00CF7DCA"/>
    <w:rsid w:val="00CF7F87"/>
    <w:rsid w:val="00D001D1"/>
    <w:rsid w:val="00D00D7C"/>
    <w:rsid w:val="00D01782"/>
    <w:rsid w:val="00D01B34"/>
    <w:rsid w:val="00D01C55"/>
    <w:rsid w:val="00D01CC3"/>
    <w:rsid w:val="00D01F81"/>
    <w:rsid w:val="00D022EF"/>
    <w:rsid w:val="00D02B5A"/>
    <w:rsid w:val="00D03189"/>
    <w:rsid w:val="00D03276"/>
    <w:rsid w:val="00D035CB"/>
    <w:rsid w:val="00D03715"/>
    <w:rsid w:val="00D038D5"/>
    <w:rsid w:val="00D03A11"/>
    <w:rsid w:val="00D03A1E"/>
    <w:rsid w:val="00D03F1A"/>
    <w:rsid w:val="00D0413A"/>
    <w:rsid w:val="00D044EA"/>
    <w:rsid w:val="00D045C7"/>
    <w:rsid w:val="00D04836"/>
    <w:rsid w:val="00D04A41"/>
    <w:rsid w:val="00D05145"/>
    <w:rsid w:val="00D051CE"/>
    <w:rsid w:val="00D053EA"/>
    <w:rsid w:val="00D0587B"/>
    <w:rsid w:val="00D06504"/>
    <w:rsid w:val="00D10415"/>
    <w:rsid w:val="00D11748"/>
    <w:rsid w:val="00D12498"/>
    <w:rsid w:val="00D128D9"/>
    <w:rsid w:val="00D12B67"/>
    <w:rsid w:val="00D135CE"/>
    <w:rsid w:val="00D13B71"/>
    <w:rsid w:val="00D13C84"/>
    <w:rsid w:val="00D13FB0"/>
    <w:rsid w:val="00D14666"/>
    <w:rsid w:val="00D147BD"/>
    <w:rsid w:val="00D14957"/>
    <w:rsid w:val="00D14CDE"/>
    <w:rsid w:val="00D14EC6"/>
    <w:rsid w:val="00D153EF"/>
    <w:rsid w:val="00D15F37"/>
    <w:rsid w:val="00D16982"/>
    <w:rsid w:val="00D169A4"/>
    <w:rsid w:val="00D17258"/>
    <w:rsid w:val="00D172C7"/>
    <w:rsid w:val="00D17ED6"/>
    <w:rsid w:val="00D20302"/>
    <w:rsid w:val="00D204B4"/>
    <w:rsid w:val="00D20776"/>
    <w:rsid w:val="00D20D04"/>
    <w:rsid w:val="00D20EE2"/>
    <w:rsid w:val="00D213EF"/>
    <w:rsid w:val="00D21406"/>
    <w:rsid w:val="00D225DF"/>
    <w:rsid w:val="00D22B3C"/>
    <w:rsid w:val="00D232D3"/>
    <w:rsid w:val="00D23479"/>
    <w:rsid w:val="00D23B2F"/>
    <w:rsid w:val="00D23D39"/>
    <w:rsid w:val="00D24E34"/>
    <w:rsid w:val="00D24E9B"/>
    <w:rsid w:val="00D24F9C"/>
    <w:rsid w:val="00D25EAA"/>
    <w:rsid w:val="00D261C7"/>
    <w:rsid w:val="00D262E2"/>
    <w:rsid w:val="00D269FC"/>
    <w:rsid w:val="00D26AE4"/>
    <w:rsid w:val="00D26BFC"/>
    <w:rsid w:val="00D26DC5"/>
    <w:rsid w:val="00D27250"/>
    <w:rsid w:val="00D27512"/>
    <w:rsid w:val="00D275AE"/>
    <w:rsid w:val="00D31382"/>
    <w:rsid w:val="00D31ACA"/>
    <w:rsid w:val="00D3228D"/>
    <w:rsid w:val="00D322A5"/>
    <w:rsid w:val="00D32873"/>
    <w:rsid w:val="00D328EC"/>
    <w:rsid w:val="00D32E4A"/>
    <w:rsid w:val="00D338B5"/>
    <w:rsid w:val="00D33A6A"/>
    <w:rsid w:val="00D33C65"/>
    <w:rsid w:val="00D33CD8"/>
    <w:rsid w:val="00D3437F"/>
    <w:rsid w:val="00D3438A"/>
    <w:rsid w:val="00D34519"/>
    <w:rsid w:val="00D34914"/>
    <w:rsid w:val="00D350F3"/>
    <w:rsid w:val="00D357AB"/>
    <w:rsid w:val="00D3584F"/>
    <w:rsid w:val="00D359FD"/>
    <w:rsid w:val="00D35A39"/>
    <w:rsid w:val="00D35D37"/>
    <w:rsid w:val="00D35D6D"/>
    <w:rsid w:val="00D35E2A"/>
    <w:rsid w:val="00D36387"/>
    <w:rsid w:val="00D367CB"/>
    <w:rsid w:val="00D36A00"/>
    <w:rsid w:val="00D376B7"/>
    <w:rsid w:val="00D37B63"/>
    <w:rsid w:val="00D37D7B"/>
    <w:rsid w:val="00D37F17"/>
    <w:rsid w:val="00D402C0"/>
    <w:rsid w:val="00D409F8"/>
    <w:rsid w:val="00D4139A"/>
    <w:rsid w:val="00D41709"/>
    <w:rsid w:val="00D41804"/>
    <w:rsid w:val="00D4226D"/>
    <w:rsid w:val="00D42FA9"/>
    <w:rsid w:val="00D433C5"/>
    <w:rsid w:val="00D43A45"/>
    <w:rsid w:val="00D450EB"/>
    <w:rsid w:val="00D45137"/>
    <w:rsid w:val="00D45EB9"/>
    <w:rsid w:val="00D46486"/>
    <w:rsid w:val="00D46F14"/>
    <w:rsid w:val="00D47D5D"/>
    <w:rsid w:val="00D502B0"/>
    <w:rsid w:val="00D504D2"/>
    <w:rsid w:val="00D504E8"/>
    <w:rsid w:val="00D509BE"/>
    <w:rsid w:val="00D50A81"/>
    <w:rsid w:val="00D51141"/>
    <w:rsid w:val="00D52067"/>
    <w:rsid w:val="00D5281C"/>
    <w:rsid w:val="00D53364"/>
    <w:rsid w:val="00D537FB"/>
    <w:rsid w:val="00D53F14"/>
    <w:rsid w:val="00D53FB2"/>
    <w:rsid w:val="00D543ED"/>
    <w:rsid w:val="00D549F7"/>
    <w:rsid w:val="00D54F28"/>
    <w:rsid w:val="00D558F0"/>
    <w:rsid w:val="00D55970"/>
    <w:rsid w:val="00D56044"/>
    <w:rsid w:val="00D56288"/>
    <w:rsid w:val="00D56407"/>
    <w:rsid w:val="00D56B73"/>
    <w:rsid w:val="00D56BD8"/>
    <w:rsid w:val="00D56EC7"/>
    <w:rsid w:val="00D5702C"/>
    <w:rsid w:val="00D570E0"/>
    <w:rsid w:val="00D5714D"/>
    <w:rsid w:val="00D573B7"/>
    <w:rsid w:val="00D57686"/>
    <w:rsid w:val="00D57787"/>
    <w:rsid w:val="00D577F2"/>
    <w:rsid w:val="00D6006D"/>
    <w:rsid w:val="00D604D0"/>
    <w:rsid w:val="00D60D5B"/>
    <w:rsid w:val="00D61190"/>
    <w:rsid w:val="00D6193C"/>
    <w:rsid w:val="00D61BC3"/>
    <w:rsid w:val="00D62196"/>
    <w:rsid w:val="00D622A5"/>
    <w:rsid w:val="00D62433"/>
    <w:rsid w:val="00D624E6"/>
    <w:rsid w:val="00D62722"/>
    <w:rsid w:val="00D627BC"/>
    <w:rsid w:val="00D63236"/>
    <w:rsid w:val="00D6330A"/>
    <w:rsid w:val="00D63C49"/>
    <w:rsid w:val="00D63E95"/>
    <w:rsid w:val="00D64121"/>
    <w:rsid w:val="00D64662"/>
    <w:rsid w:val="00D64959"/>
    <w:rsid w:val="00D64C90"/>
    <w:rsid w:val="00D64D67"/>
    <w:rsid w:val="00D64D8C"/>
    <w:rsid w:val="00D6502D"/>
    <w:rsid w:val="00D6503F"/>
    <w:rsid w:val="00D65661"/>
    <w:rsid w:val="00D659BA"/>
    <w:rsid w:val="00D65DB7"/>
    <w:rsid w:val="00D664D0"/>
    <w:rsid w:val="00D66715"/>
    <w:rsid w:val="00D674DE"/>
    <w:rsid w:val="00D676FF"/>
    <w:rsid w:val="00D67D97"/>
    <w:rsid w:val="00D70502"/>
    <w:rsid w:val="00D7090D"/>
    <w:rsid w:val="00D7095D"/>
    <w:rsid w:val="00D70B5A"/>
    <w:rsid w:val="00D7144C"/>
    <w:rsid w:val="00D71459"/>
    <w:rsid w:val="00D71F38"/>
    <w:rsid w:val="00D71F7D"/>
    <w:rsid w:val="00D7239A"/>
    <w:rsid w:val="00D72BA1"/>
    <w:rsid w:val="00D72F23"/>
    <w:rsid w:val="00D731A4"/>
    <w:rsid w:val="00D739E6"/>
    <w:rsid w:val="00D73A60"/>
    <w:rsid w:val="00D73C36"/>
    <w:rsid w:val="00D73CE1"/>
    <w:rsid w:val="00D74032"/>
    <w:rsid w:val="00D746ED"/>
    <w:rsid w:val="00D74F16"/>
    <w:rsid w:val="00D74FE1"/>
    <w:rsid w:val="00D7551A"/>
    <w:rsid w:val="00D756A3"/>
    <w:rsid w:val="00D7586F"/>
    <w:rsid w:val="00D7596F"/>
    <w:rsid w:val="00D75B59"/>
    <w:rsid w:val="00D760E8"/>
    <w:rsid w:val="00D7663B"/>
    <w:rsid w:val="00D76880"/>
    <w:rsid w:val="00D76D10"/>
    <w:rsid w:val="00D7713F"/>
    <w:rsid w:val="00D77599"/>
    <w:rsid w:val="00D775E3"/>
    <w:rsid w:val="00D77A49"/>
    <w:rsid w:val="00D80115"/>
    <w:rsid w:val="00D801EB"/>
    <w:rsid w:val="00D808DA"/>
    <w:rsid w:val="00D80AFE"/>
    <w:rsid w:val="00D81347"/>
    <w:rsid w:val="00D81778"/>
    <w:rsid w:val="00D81968"/>
    <w:rsid w:val="00D81989"/>
    <w:rsid w:val="00D81F33"/>
    <w:rsid w:val="00D81F63"/>
    <w:rsid w:val="00D81FF6"/>
    <w:rsid w:val="00D834D4"/>
    <w:rsid w:val="00D8390E"/>
    <w:rsid w:val="00D8468A"/>
    <w:rsid w:val="00D84B14"/>
    <w:rsid w:val="00D84B3F"/>
    <w:rsid w:val="00D85AC1"/>
    <w:rsid w:val="00D86423"/>
    <w:rsid w:val="00D86590"/>
    <w:rsid w:val="00D86779"/>
    <w:rsid w:val="00D867E1"/>
    <w:rsid w:val="00D86843"/>
    <w:rsid w:val="00D86915"/>
    <w:rsid w:val="00D8730F"/>
    <w:rsid w:val="00D87806"/>
    <w:rsid w:val="00D878A8"/>
    <w:rsid w:val="00D90030"/>
    <w:rsid w:val="00D9004A"/>
    <w:rsid w:val="00D901C2"/>
    <w:rsid w:val="00D90470"/>
    <w:rsid w:val="00D907FA"/>
    <w:rsid w:val="00D90C1B"/>
    <w:rsid w:val="00D92457"/>
    <w:rsid w:val="00D925F3"/>
    <w:rsid w:val="00D92C46"/>
    <w:rsid w:val="00D937E9"/>
    <w:rsid w:val="00D93881"/>
    <w:rsid w:val="00D939B2"/>
    <w:rsid w:val="00D940E5"/>
    <w:rsid w:val="00D94C78"/>
    <w:rsid w:val="00D951CB"/>
    <w:rsid w:val="00D955AA"/>
    <w:rsid w:val="00D95996"/>
    <w:rsid w:val="00D95AA6"/>
    <w:rsid w:val="00D95B5C"/>
    <w:rsid w:val="00D95EF6"/>
    <w:rsid w:val="00D963E7"/>
    <w:rsid w:val="00D9658F"/>
    <w:rsid w:val="00D969BF"/>
    <w:rsid w:val="00D9749C"/>
    <w:rsid w:val="00D97C48"/>
    <w:rsid w:val="00DA0888"/>
    <w:rsid w:val="00DA0BC9"/>
    <w:rsid w:val="00DA14A4"/>
    <w:rsid w:val="00DA15AB"/>
    <w:rsid w:val="00DA18C1"/>
    <w:rsid w:val="00DA2A48"/>
    <w:rsid w:val="00DA30EF"/>
    <w:rsid w:val="00DA34AA"/>
    <w:rsid w:val="00DA3922"/>
    <w:rsid w:val="00DA3BC1"/>
    <w:rsid w:val="00DA3EF2"/>
    <w:rsid w:val="00DA4180"/>
    <w:rsid w:val="00DA4409"/>
    <w:rsid w:val="00DA4E50"/>
    <w:rsid w:val="00DA595D"/>
    <w:rsid w:val="00DA5E04"/>
    <w:rsid w:val="00DA5F1D"/>
    <w:rsid w:val="00DA5F33"/>
    <w:rsid w:val="00DA6252"/>
    <w:rsid w:val="00DA6398"/>
    <w:rsid w:val="00DA66CD"/>
    <w:rsid w:val="00DA69FF"/>
    <w:rsid w:val="00DA760C"/>
    <w:rsid w:val="00DA7912"/>
    <w:rsid w:val="00DA7D25"/>
    <w:rsid w:val="00DB04D7"/>
    <w:rsid w:val="00DB1048"/>
    <w:rsid w:val="00DB19B8"/>
    <w:rsid w:val="00DB1D68"/>
    <w:rsid w:val="00DB1DAB"/>
    <w:rsid w:val="00DB2094"/>
    <w:rsid w:val="00DB239E"/>
    <w:rsid w:val="00DB290D"/>
    <w:rsid w:val="00DB2C13"/>
    <w:rsid w:val="00DB3632"/>
    <w:rsid w:val="00DB37D0"/>
    <w:rsid w:val="00DB3825"/>
    <w:rsid w:val="00DB39B7"/>
    <w:rsid w:val="00DB4077"/>
    <w:rsid w:val="00DB4078"/>
    <w:rsid w:val="00DB40CE"/>
    <w:rsid w:val="00DB4803"/>
    <w:rsid w:val="00DB4E5A"/>
    <w:rsid w:val="00DB51DE"/>
    <w:rsid w:val="00DB5BFA"/>
    <w:rsid w:val="00DB5EAD"/>
    <w:rsid w:val="00DB61F5"/>
    <w:rsid w:val="00DB6886"/>
    <w:rsid w:val="00DB6B63"/>
    <w:rsid w:val="00DB6BBE"/>
    <w:rsid w:val="00DB781E"/>
    <w:rsid w:val="00DB7A09"/>
    <w:rsid w:val="00DB7D62"/>
    <w:rsid w:val="00DC139B"/>
    <w:rsid w:val="00DC1DFE"/>
    <w:rsid w:val="00DC2210"/>
    <w:rsid w:val="00DC2C39"/>
    <w:rsid w:val="00DC2FF3"/>
    <w:rsid w:val="00DC407A"/>
    <w:rsid w:val="00DC457F"/>
    <w:rsid w:val="00DC48D9"/>
    <w:rsid w:val="00DC563D"/>
    <w:rsid w:val="00DC585C"/>
    <w:rsid w:val="00DC5D55"/>
    <w:rsid w:val="00DC61AB"/>
    <w:rsid w:val="00DC6466"/>
    <w:rsid w:val="00DC67E2"/>
    <w:rsid w:val="00DC7355"/>
    <w:rsid w:val="00DC7544"/>
    <w:rsid w:val="00DC77BB"/>
    <w:rsid w:val="00DD05D7"/>
    <w:rsid w:val="00DD0621"/>
    <w:rsid w:val="00DD08CA"/>
    <w:rsid w:val="00DD0A3F"/>
    <w:rsid w:val="00DD1127"/>
    <w:rsid w:val="00DD1478"/>
    <w:rsid w:val="00DD15E0"/>
    <w:rsid w:val="00DD16CD"/>
    <w:rsid w:val="00DD189B"/>
    <w:rsid w:val="00DD1AA6"/>
    <w:rsid w:val="00DD1E2D"/>
    <w:rsid w:val="00DD22E8"/>
    <w:rsid w:val="00DD2985"/>
    <w:rsid w:val="00DD327C"/>
    <w:rsid w:val="00DD38C3"/>
    <w:rsid w:val="00DD39F3"/>
    <w:rsid w:val="00DD3A28"/>
    <w:rsid w:val="00DD3A9D"/>
    <w:rsid w:val="00DD4803"/>
    <w:rsid w:val="00DD498F"/>
    <w:rsid w:val="00DD54D6"/>
    <w:rsid w:val="00DD56CD"/>
    <w:rsid w:val="00DD61EE"/>
    <w:rsid w:val="00DD6AC2"/>
    <w:rsid w:val="00DD71B0"/>
    <w:rsid w:val="00DD7598"/>
    <w:rsid w:val="00DD773B"/>
    <w:rsid w:val="00DD7AA0"/>
    <w:rsid w:val="00DD7EC4"/>
    <w:rsid w:val="00DE0830"/>
    <w:rsid w:val="00DE165B"/>
    <w:rsid w:val="00DE1946"/>
    <w:rsid w:val="00DE1AEA"/>
    <w:rsid w:val="00DE1F73"/>
    <w:rsid w:val="00DE218C"/>
    <w:rsid w:val="00DE2578"/>
    <w:rsid w:val="00DE2736"/>
    <w:rsid w:val="00DE2AF9"/>
    <w:rsid w:val="00DE2DA0"/>
    <w:rsid w:val="00DE3345"/>
    <w:rsid w:val="00DE33A7"/>
    <w:rsid w:val="00DE3403"/>
    <w:rsid w:val="00DE3478"/>
    <w:rsid w:val="00DE40FD"/>
    <w:rsid w:val="00DE500D"/>
    <w:rsid w:val="00DE50BD"/>
    <w:rsid w:val="00DE5E6D"/>
    <w:rsid w:val="00DE605D"/>
    <w:rsid w:val="00DE618F"/>
    <w:rsid w:val="00DE6939"/>
    <w:rsid w:val="00DE6C1A"/>
    <w:rsid w:val="00DE6CF6"/>
    <w:rsid w:val="00DE6F13"/>
    <w:rsid w:val="00DE7122"/>
    <w:rsid w:val="00DE7522"/>
    <w:rsid w:val="00DE77ED"/>
    <w:rsid w:val="00DE7BD9"/>
    <w:rsid w:val="00DE7ED9"/>
    <w:rsid w:val="00DE7F53"/>
    <w:rsid w:val="00DE7FA0"/>
    <w:rsid w:val="00DF0391"/>
    <w:rsid w:val="00DF0889"/>
    <w:rsid w:val="00DF09CB"/>
    <w:rsid w:val="00DF0E30"/>
    <w:rsid w:val="00DF1082"/>
    <w:rsid w:val="00DF1977"/>
    <w:rsid w:val="00DF1F7A"/>
    <w:rsid w:val="00DF2BCB"/>
    <w:rsid w:val="00DF3BBB"/>
    <w:rsid w:val="00DF44E8"/>
    <w:rsid w:val="00DF4B45"/>
    <w:rsid w:val="00DF4C6F"/>
    <w:rsid w:val="00DF4D78"/>
    <w:rsid w:val="00DF548C"/>
    <w:rsid w:val="00DF552A"/>
    <w:rsid w:val="00DF5540"/>
    <w:rsid w:val="00DF5686"/>
    <w:rsid w:val="00DF5BA9"/>
    <w:rsid w:val="00DF6046"/>
    <w:rsid w:val="00DF6051"/>
    <w:rsid w:val="00DF75DC"/>
    <w:rsid w:val="00DF77FE"/>
    <w:rsid w:val="00DF7C48"/>
    <w:rsid w:val="00E003A2"/>
    <w:rsid w:val="00E00E4A"/>
    <w:rsid w:val="00E014E1"/>
    <w:rsid w:val="00E01C29"/>
    <w:rsid w:val="00E025AC"/>
    <w:rsid w:val="00E02FB2"/>
    <w:rsid w:val="00E03425"/>
    <w:rsid w:val="00E03560"/>
    <w:rsid w:val="00E03692"/>
    <w:rsid w:val="00E03BDD"/>
    <w:rsid w:val="00E03E74"/>
    <w:rsid w:val="00E03EE8"/>
    <w:rsid w:val="00E04562"/>
    <w:rsid w:val="00E04805"/>
    <w:rsid w:val="00E04ECE"/>
    <w:rsid w:val="00E05491"/>
    <w:rsid w:val="00E05589"/>
    <w:rsid w:val="00E0658E"/>
    <w:rsid w:val="00E07409"/>
    <w:rsid w:val="00E07859"/>
    <w:rsid w:val="00E07A06"/>
    <w:rsid w:val="00E1001E"/>
    <w:rsid w:val="00E101AF"/>
    <w:rsid w:val="00E10710"/>
    <w:rsid w:val="00E108EA"/>
    <w:rsid w:val="00E10BF3"/>
    <w:rsid w:val="00E10D17"/>
    <w:rsid w:val="00E1108B"/>
    <w:rsid w:val="00E11161"/>
    <w:rsid w:val="00E118BE"/>
    <w:rsid w:val="00E118F6"/>
    <w:rsid w:val="00E1197D"/>
    <w:rsid w:val="00E13416"/>
    <w:rsid w:val="00E137D3"/>
    <w:rsid w:val="00E139E3"/>
    <w:rsid w:val="00E13D4D"/>
    <w:rsid w:val="00E13E8D"/>
    <w:rsid w:val="00E141D5"/>
    <w:rsid w:val="00E14712"/>
    <w:rsid w:val="00E14779"/>
    <w:rsid w:val="00E15014"/>
    <w:rsid w:val="00E151D6"/>
    <w:rsid w:val="00E15267"/>
    <w:rsid w:val="00E15866"/>
    <w:rsid w:val="00E167D3"/>
    <w:rsid w:val="00E16CC3"/>
    <w:rsid w:val="00E16D33"/>
    <w:rsid w:val="00E16FCC"/>
    <w:rsid w:val="00E17684"/>
    <w:rsid w:val="00E17800"/>
    <w:rsid w:val="00E17984"/>
    <w:rsid w:val="00E17B68"/>
    <w:rsid w:val="00E17C5F"/>
    <w:rsid w:val="00E206FF"/>
    <w:rsid w:val="00E20BE4"/>
    <w:rsid w:val="00E20EB7"/>
    <w:rsid w:val="00E2138D"/>
    <w:rsid w:val="00E21532"/>
    <w:rsid w:val="00E218A1"/>
    <w:rsid w:val="00E21FE6"/>
    <w:rsid w:val="00E224D1"/>
    <w:rsid w:val="00E225CA"/>
    <w:rsid w:val="00E22884"/>
    <w:rsid w:val="00E22936"/>
    <w:rsid w:val="00E23054"/>
    <w:rsid w:val="00E231F6"/>
    <w:rsid w:val="00E23210"/>
    <w:rsid w:val="00E23227"/>
    <w:rsid w:val="00E23745"/>
    <w:rsid w:val="00E23A2F"/>
    <w:rsid w:val="00E23B7F"/>
    <w:rsid w:val="00E23E11"/>
    <w:rsid w:val="00E243D6"/>
    <w:rsid w:val="00E24544"/>
    <w:rsid w:val="00E24681"/>
    <w:rsid w:val="00E24B71"/>
    <w:rsid w:val="00E24E6A"/>
    <w:rsid w:val="00E254D3"/>
    <w:rsid w:val="00E26678"/>
    <w:rsid w:val="00E267B5"/>
    <w:rsid w:val="00E267FC"/>
    <w:rsid w:val="00E26821"/>
    <w:rsid w:val="00E26DEF"/>
    <w:rsid w:val="00E27170"/>
    <w:rsid w:val="00E27449"/>
    <w:rsid w:val="00E2744C"/>
    <w:rsid w:val="00E27477"/>
    <w:rsid w:val="00E2788C"/>
    <w:rsid w:val="00E27D6B"/>
    <w:rsid w:val="00E30648"/>
    <w:rsid w:val="00E30EF2"/>
    <w:rsid w:val="00E316AD"/>
    <w:rsid w:val="00E316C9"/>
    <w:rsid w:val="00E31B7F"/>
    <w:rsid w:val="00E31CD8"/>
    <w:rsid w:val="00E31F11"/>
    <w:rsid w:val="00E3226E"/>
    <w:rsid w:val="00E326D5"/>
    <w:rsid w:val="00E32AFF"/>
    <w:rsid w:val="00E32BB0"/>
    <w:rsid w:val="00E32D06"/>
    <w:rsid w:val="00E331FB"/>
    <w:rsid w:val="00E33568"/>
    <w:rsid w:val="00E337E7"/>
    <w:rsid w:val="00E344F0"/>
    <w:rsid w:val="00E346BD"/>
    <w:rsid w:val="00E34AB9"/>
    <w:rsid w:val="00E35170"/>
    <w:rsid w:val="00E3553E"/>
    <w:rsid w:val="00E36404"/>
    <w:rsid w:val="00E365C9"/>
    <w:rsid w:val="00E36643"/>
    <w:rsid w:val="00E370ED"/>
    <w:rsid w:val="00E37334"/>
    <w:rsid w:val="00E37427"/>
    <w:rsid w:val="00E37437"/>
    <w:rsid w:val="00E37B98"/>
    <w:rsid w:val="00E37E99"/>
    <w:rsid w:val="00E37ED7"/>
    <w:rsid w:val="00E401F4"/>
    <w:rsid w:val="00E40211"/>
    <w:rsid w:val="00E4040B"/>
    <w:rsid w:val="00E40455"/>
    <w:rsid w:val="00E40539"/>
    <w:rsid w:val="00E411D2"/>
    <w:rsid w:val="00E41784"/>
    <w:rsid w:val="00E418DB"/>
    <w:rsid w:val="00E419A2"/>
    <w:rsid w:val="00E41BB9"/>
    <w:rsid w:val="00E42358"/>
    <w:rsid w:val="00E4308E"/>
    <w:rsid w:val="00E43202"/>
    <w:rsid w:val="00E4466E"/>
    <w:rsid w:val="00E452A8"/>
    <w:rsid w:val="00E4546F"/>
    <w:rsid w:val="00E45738"/>
    <w:rsid w:val="00E45E16"/>
    <w:rsid w:val="00E46243"/>
    <w:rsid w:val="00E464A8"/>
    <w:rsid w:val="00E46840"/>
    <w:rsid w:val="00E477D8"/>
    <w:rsid w:val="00E479F6"/>
    <w:rsid w:val="00E47AEE"/>
    <w:rsid w:val="00E47BF9"/>
    <w:rsid w:val="00E5013D"/>
    <w:rsid w:val="00E501BB"/>
    <w:rsid w:val="00E508E0"/>
    <w:rsid w:val="00E509BF"/>
    <w:rsid w:val="00E50E62"/>
    <w:rsid w:val="00E50EFC"/>
    <w:rsid w:val="00E5168B"/>
    <w:rsid w:val="00E51F39"/>
    <w:rsid w:val="00E5222E"/>
    <w:rsid w:val="00E5244A"/>
    <w:rsid w:val="00E528BE"/>
    <w:rsid w:val="00E52CC9"/>
    <w:rsid w:val="00E53028"/>
    <w:rsid w:val="00E5410F"/>
    <w:rsid w:val="00E5501F"/>
    <w:rsid w:val="00E55A74"/>
    <w:rsid w:val="00E55BC9"/>
    <w:rsid w:val="00E55D6E"/>
    <w:rsid w:val="00E56159"/>
    <w:rsid w:val="00E561D1"/>
    <w:rsid w:val="00E56A8F"/>
    <w:rsid w:val="00E56FD4"/>
    <w:rsid w:val="00E5703E"/>
    <w:rsid w:val="00E57253"/>
    <w:rsid w:val="00E57599"/>
    <w:rsid w:val="00E576D3"/>
    <w:rsid w:val="00E57C52"/>
    <w:rsid w:val="00E609E5"/>
    <w:rsid w:val="00E60B56"/>
    <w:rsid w:val="00E612AB"/>
    <w:rsid w:val="00E6216A"/>
    <w:rsid w:val="00E623C6"/>
    <w:rsid w:val="00E625EA"/>
    <w:rsid w:val="00E627A2"/>
    <w:rsid w:val="00E62841"/>
    <w:rsid w:val="00E62FE2"/>
    <w:rsid w:val="00E635C8"/>
    <w:rsid w:val="00E638ED"/>
    <w:rsid w:val="00E63C30"/>
    <w:rsid w:val="00E6437E"/>
    <w:rsid w:val="00E646C6"/>
    <w:rsid w:val="00E6471D"/>
    <w:rsid w:val="00E65301"/>
    <w:rsid w:val="00E65424"/>
    <w:rsid w:val="00E65637"/>
    <w:rsid w:val="00E65918"/>
    <w:rsid w:val="00E659EA"/>
    <w:rsid w:val="00E65F9D"/>
    <w:rsid w:val="00E6615B"/>
    <w:rsid w:val="00E66451"/>
    <w:rsid w:val="00E66B81"/>
    <w:rsid w:val="00E66BDB"/>
    <w:rsid w:val="00E670A8"/>
    <w:rsid w:val="00E67AF3"/>
    <w:rsid w:val="00E709EA"/>
    <w:rsid w:val="00E70B1A"/>
    <w:rsid w:val="00E70C92"/>
    <w:rsid w:val="00E70CE3"/>
    <w:rsid w:val="00E70E34"/>
    <w:rsid w:val="00E70E68"/>
    <w:rsid w:val="00E70FFC"/>
    <w:rsid w:val="00E71460"/>
    <w:rsid w:val="00E719CA"/>
    <w:rsid w:val="00E71AC4"/>
    <w:rsid w:val="00E72178"/>
    <w:rsid w:val="00E72237"/>
    <w:rsid w:val="00E72707"/>
    <w:rsid w:val="00E7296C"/>
    <w:rsid w:val="00E733DA"/>
    <w:rsid w:val="00E73A06"/>
    <w:rsid w:val="00E74008"/>
    <w:rsid w:val="00E74311"/>
    <w:rsid w:val="00E74476"/>
    <w:rsid w:val="00E74932"/>
    <w:rsid w:val="00E74C21"/>
    <w:rsid w:val="00E74E45"/>
    <w:rsid w:val="00E74F8D"/>
    <w:rsid w:val="00E7504D"/>
    <w:rsid w:val="00E75B84"/>
    <w:rsid w:val="00E75C80"/>
    <w:rsid w:val="00E7648A"/>
    <w:rsid w:val="00E76CB0"/>
    <w:rsid w:val="00E76D78"/>
    <w:rsid w:val="00E773FE"/>
    <w:rsid w:val="00E7753D"/>
    <w:rsid w:val="00E77C53"/>
    <w:rsid w:val="00E8020A"/>
    <w:rsid w:val="00E809EB"/>
    <w:rsid w:val="00E80AC4"/>
    <w:rsid w:val="00E80F7F"/>
    <w:rsid w:val="00E81184"/>
    <w:rsid w:val="00E816D6"/>
    <w:rsid w:val="00E81887"/>
    <w:rsid w:val="00E81BFB"/>
    <w:rsid w:val="00E821BF"/>
    <w:rsid w:val="00E823A1"/>
    <w:rsid w:val="00E829D3"/>
    <w:rsid w:val="00E82CB9"/>
    <w:rsid w:val="00E83006"/>
    <w:rsid w:val="00E83214"/>
    <w:rsid w:val="00E834DE"/>
    <w:rsid w:val="00E83B24"/>
    <w:rsid w:val="00E83CD0"/>
    <w:rsid w:val="00E83D96"/>
    <w:rsid w:val="00E83DE0"/>
    <w:rsid w:val="00E846B6"/>
    <w:rsid w:val="00E847E3"/>
    <w:rsid w:val="00E84E08"/>
    <w:rsid w:val="00E850D7"/>
    <w:rsid w:val="00E85875"/>
    <w:rsid w:val="00E85F4A"/>
    <w:rsid w:val="00E87A05"/>
    <w:rsid w:val="00E87CD8"/>
    <w:rsid w:val="00E90AE9"/>
    <w:rsid w:val="00E915C2"/>
    <w:rsid w:val="00E91644"/>
    <w:rsid w:val="00E91BDE"/>
    <w:rsid w:val="00E91FF2"/>
    <w:rsid w:val="00E92292"/>
    <w:rsid w:val="00E92493"/>
    <w:rsid w:val="00E92836"/>
    <w:rsid w:val="00E928E7"/>
    <w:rsid w:val="00E92980"/>
    <w:rsid w:val="00E92B00"/>
    <w:rsid w:val="00E9325B"/>
    <w:rsid w:val="00E93427"/>
    <w:rsid w:val="00E934E1"/>
    <w:rsid w:val="00E9401D"/>
    <w:rsid w:val="00E9413A"/>
    <w:rsid w:val="00E943E3"/>
    <w:rsid w:val="00E95601"/>
    <w:rsid w:val="00E95A32"/>
    <w:rsid w:val="00E95B8E"/>
    <w:rsid w:val="00E95CA5"/>
    <w:rsid w:val="00E95F4B"/>
    <w:rsid w:val="00E96102"/>
    <w:rsid w:val="00E963D5"/>
    <w:rsid w:val="00E9641C"/>
    <w:rsid w:val="00E966F1"/>
    <w:rsid w:val="00E9670C"/>
    <w:rsid w:val="00E96720"/>
    <w:rsid w:val="00E96C81"/>
    <w:rsid w:val="00E971AE"/>
    <w:rsid w:val="00EA026A"/>
    <w:rsid w:val="00EA043F"/>
    <w:rsid w:val="00EA050A"/>
    <w:rsid w:val="00EA0B48"/>
    <w:rsid w:val="00EA0DE2"/>
    <w:rsid w:val="00EA0DEC"/>
    <w:rsid w:val="00EA0F7F"/>
    <w:rsid w:val="00EA11D8"/>
    <w:rsid w:val="00EA16D2"/>
    <w:rsid w:val="00EA1B56"/>
    <w:rsid w:val="00EA1BC2"/>
    <w:rsid w:val="00EA1F7C"/>
    <w:rsid w:val="00EA1FFB"/>
    <w:rsid w:val="00EA2137"/>
    <w:rsid w:val="00EA2711"/>
    <w:rsid w:val="00EA2895"/>
    <w:rsid w:val="00EA2B3F"/>
    <w:rsid w:val="00EA3355"/>
    <w:rsid w:val="00EA35ED"/>
    <w:rsid w:val="00EA3968"/>
    <w:rsid w:val="00EA3B35"/>
    <w:rsid w:val="00EA480C"/>
    <w:rsid w:val="00EA56DD"/>
    <w:rsid w:val="00EA5E70"/>
    <w:rsid w:val="00EA5EF3"/>
    <w:rsid w:val="00EA61B6"/>
    <w:rsid w:val="00EA6CAB"/>
    <w:rsid w:val="00EA6D5E"/>
    <w:rsid w:val="00EA7442"/>
    <w:rsid w:val="00EB0B75"/>
    <w:rsid w:val="00EB1AE6"/>
    <w:rsid w:val="00EB1F9A"/>
    <w:rsid w:val="00EB2161"/>
    <w:rsid w:val="00EB21FE"/>
    <w:rsid w:val="00EB2ED3"/>
    <w:rsid w:val="00EB3453"/>
    <w:rsid w:val="00EB38B4"/>
    <w:rsid w:val="00EB394A"/>
    <w:rsid w:val="00EB394C"/>
    <w:rsid w:val="00EB3D6A"/>
    <w:rsid w:val="00EB47E6"/>
    <w:rsid w:val="00EB48AA"/>
    <w:rsid w:val="00EB4A55"/>
    <w:rsid w:val="00EB59A0"/>
    <w:rsid w:val="00EB6A09"/>
    <w:rsid w:val="00EB6BC3"/>
    <w:rsid w:val="00EB74E2"/>
    <w:rsid w:val="00EB7581"/>
    <w:rsid w:val="00EB75C1"/>
    <w:rsid w:val="00EC0168"/>
    <w:rsid w:val="00EC0878"/>
    <w:rsid w:val="00EC0F59"/>
    <w:rsid w:val="00EC1133"/>
    <w:rsid w:val="00EC1AB1"/>
    <w:rsid w:val="00EC30A1"/>
    <w:rsid w:val="00EC3260"/>
    <w:rsid w:val="00EC3861"/>
    <w:rsid w:val="00EC3BA7"/>
    <w:rsid w:val="00EC3CBF"/>
    <w:rsid w:val="00EC402A"/>
    <w:rsid w:val="00EC451E"/>
    <w:rsid w:val="00EC4561"/>
    <w:rsid w:val="00EC5051"/>
    <w:rsid w:val="00EC5433"/>
    <w:rsid w:val="00EC5A4E"/>
    <w:rsid w:val="00EC62F5"/>
    <w:rsid w:val="00EC6548"/>
    <w:rsid w:val="00EC661A"/>
    <w:rsid w:val="00EC6AB8"/>
    <w:rsid w:val="00EC6AEB"/>
    <w:rsid w:val="00EC7063"/>
    <w:rsid w:val="00EC7288"/>
    <w:rsid w:val="00EC7D9F"/>
    <w:rsid w:val="00EC7FC1"/>
    <w:rsid w:val="00ED00A0"/>
    <w:rsid w:val="00ED0888"/>
    <w:rsid w:val="00ED0CDB"/>
    <w:rsid w:val="00ED0E0A"/>
    <w:rsid w:val="00ED11DC"/>
    <w:rsid w:val="00ED1639"/>
    <w:rsid w:val="00ED18C2"/>
    <w:rsid w:val="00ED222D"/>
    <w:rsid w:val="00ED2726"/>
    <w:rsid w:val="00ED35E6"/>
    <w:rsid w:val="00ED36A2"/>
    <w:rsid w:val="00ED3DF8"/>
    <w:rsid w:val="00ED5A1C"/>
    <w:rsid w:val="00ED5D82"/>
    <w:rsid w:val="00ED5E8B"/>
    <w:rsid w:val="00ED62B8"/>
    <w:rsid w:val="00ED6590"/>
    <w:rsid w:val="00ED665D"/>
    <w:rsid w:val="00ED6873"/>
    <w:rsid w:val="00ED6E14"/>
    <w:rsid w:val="00ED7019"/>
    <w:rsid w:val="00ED70E1"/>
    <w:rsid w:val="00ED71F8"/>
    <w:rsid w:val="00ED724C"/>
    <w:rsid w:val="00EE0262"/>
    <w:rsid w:val="00EE03AF"/>
    <w:rsid w:val="00EE055A"/>
    <w:rsid w:val="00EE08FE"/>
    <w:rsid w:val="00EE1636"/>
    <w:rsid w:val="00EE1C50"/>
    <w:rsid w:val="00EE1D85"/>
    <w:rsid w:val="00EE1D86"/>
    <w:rsid w:val="00EE26F8"/>
    <w:rsid w:val="00EE30A3"/>
    <w:rsid w:val="00EE321E"/>
    <w:rsid w:val="00EE3716"/>
    <w:rsid w:val="00EE3E83"/>
    <w:rsid w:val="00EE4518"/>
    <w:rsid w:val="00EE486D"/>
    <w:rsid w:val="00EE48C2"/>
    <w:rsid w:val="00EE54B8"/>
    <w:rsid w:val="00EE58C1"/>
    <w:rsid w:val="00EE5CE7"/>
    <w:rsid w:val="00EE5F23"/>
    <w:rsid w:val="00EE6352"/>
    <w:rsid w:val="00EE66DA"/>
    <w:rsid w:val="00EE6BBB"/>
    <w:rsid w:val="00EE6F25"/>
    <w:rsid w:val="00EE71FC"/>
    <w:rsid w:val="00EE74AD"/>
    <w:rsid w:val="00EE7A2B"/>
    <w:rsid w:val="00EF05B8"/>
    <w:rsid w:val="00EF0609"/>
    <w:rsid w:val="00EF0F14"/>
    <w:rsid w:val="00EF1434"/>
    <w:rsid w:val="00EF179A"/>
    <w:rsid w:val="00EF19F6"/>
    <w:rsid w:val="00EF1F2E"/>
    <w:rsid w:val="00EF21DC"/>
    <w:rsid w:val="00EF2567"/>
    <w:rsid w:val="00EF2891"/>
    <w:rsid w:val="00EF29DF"/>
    <w:rsid w:val="00EF2B6B"/>
    <w:rsid w:val="00EF30E3"/>
    <w:rsid w:val="00EF386D"/>
    <w:rsid w:val="00EF39BF"/>
    <w:rsid w:val="00EF3BBB"/>
    <w:rsid w:val="00EF42EB"/>
    <w:rsid w:val="00EF49E7"/>
    <w:rsid w:val="00EF4EC7"/>
    <w:rsid w:val="00EF50B9"/>
    <w:rsid w:val="00EF650C"/>
    <w:rsid w:val="00EF703A"/>
    <w:rsid w:val="00F005E9"/>
    <w:rsid w:val="00F00616"/>
    <w:rsid w:val="00F008F2"/>
    <w:rsid w:val="00F00C84"/>
    <w:rsid w:val="00F01467"/>
    <w:rsid w:val="00F0162C"/>
    <w:rsid w:val="00F02475"/>
    <w:rsid w:val="00F027B3"/>
    <w:rsid w:val="00F02CB2"/>
    <w:rsid w:val="00F02E89"/>
    <w:rsid w:val="00F033EC"/>
    <w:rsid w:val="00F03D72"/>
    <w:rsid w:val="00F03E5E"/>
    <w:rsid w:val="00F04039"/>
    <w:rsid w:val="00F04244"/>
    <w:rsid w:val="00F0431F"/>
    <w:rsid w:val="00F04CC9"/>
    <w:rsid w:val="00F04E06"/>
    <w:rsid w:val="00F04EEC"/>
    <w:rsid w:val="00F050B2"/>
    <w:rsid w:val="00F052E4"/>
    <w:rsid w:val="00F05612"/>
    <w:rsid w:val="00F05880"/>
    <w:rsid w:val="00F0619E"/>
    <w:rsid w:val="00F0638D"/>
    <w:rsid w:val="00F06930"/>
    <w:rsid w:val="00F06B98"/>
    <w:rsid w:val="00F06C5E"/>
    <w:rsid w:val="00F06CB5"/>
    <w:rsid w:val="00F06CDC"/>
    <w:rsid w:val="00F07166"/>
    <w:rsid w:val="00F076A7"/>
    <w:rsid w:val="00F07BCD"/>
    <w:rsid w:val="00F07EB4"/>
    <w:rsid w:val="00F07EF1"/>
    <w:rsid w:val="00F1048A"/>
    <w:rsid w:val="00F10603"/>
    <w:rsid w:val="00F106E3"/>
    <w:rsid w:val="00F1070E"/>
    <w:rsid w:val="00F11D17"/>
    <w:rsid w:val="00F12132"/>
    <w:rsid w:val="00F12164"/>
    <w:rsid w:val="00F1233B"/>
    <w:rsid w:val="00F12755"/>
    <w:rsid w:val="00F12992"/>
    <w:rsid w:val="00F13B34"/>
    <w:rsid w:val="00F13D02"/>
    <w:rsid w:val="00F141E0"/>
    <w:rsid w:val="00F1453B"/>
    <w:rsid w:val="00F14C5A"/>
    <w:rsid w:val="00F150C1"/>
    <w:rsid w:val="00F15835"/>
    <w:rsid w:val="00F15859"/>
    <w:rsid w:val="00F15913"/>
    <w:rsid w:val="00F15CB4"/>
    <w:rsid w:val="00F15DC3"/>
    <w:rsid w:val="00F15EBC"/>
    <w:rsid w:val="00F16539"/>
    <w:rsid w:val="00F167BA"/>
    <w:rsid w:val="00F16971"/>
    <w:rsid w:val="00F16D10"/>
    <w:rsid w:val="00F17020"/>
    <w:rsid w:val="00F17857"/>
    <w:rsid w:val="00F17C92"/>
    <w:rsid w:val="00F17F3D"/>
    <w:rsid w:val="00F201EA"/>
    <w:rsid w:val="00F20253"/>
    <w:rsid w:val="00F20315"/>
    <w:rsid w:val="00F20399"/>
    <w:rsid w:val="00F20939"/>
    <w:rsid w:val="00F20DB5"/>
    <w:rsid w:val="00F21C0D"/>
    <w:rsid w:val="00F22123"/>
    <w:rsid w:val="00F2281A"/>
    <w:rsid w:val="00F22B58"/>
    <w:rsid w:val="00F23304"/>
    <w:rsid w:val="00F2371A"/>
    <w:rsid w:val="00F2377F"/>
    <w:rsid w:val="00F238AB"/>
    <w:rsid w:val="00F239A4"/>
    <w:rsid w:val="00F24223"/>
    <w:rsid w:val="00F2435A"/>
    <w:rsid w:val="00F24AEE"/>
    <w:rsid w:val="00F24C82"/>
    <w:rsid w:val="00F257ED"/>
    <w:rsid w:val="00F25A17"/>
    <w:rsid w:val="00F25B37"/>
    <w:rsid w:val="00F25C36"/>
    <w:rsid w:val="00F26857"/>
    <w:rsid w:val="00F26A2A"/>
    <w:rsid w:val="00F26D60"/>
    <w:rsid w:val="00F26E00"/>
    <w:rsid w:val="00F30210"/>
    <w:rsid w:val="00F30629"/>
    <w:rsid w:val="00F3075A"/>
    <w:rsid w:val="00F30959"/>
    <w:rsid w:val="00F30EDC"/>
    <w:rsid w:val="00F313D8"/>
    <w:rsid w:val="00F31959"/>
    <w:rsid w:val="00F31B84"/>
    <w:rsid w:val="00F3274C"/>
    <w:rsid w:val="00F32D8C"/>
    <w:rsid w:val="00F32E0A"/>
    <w:rsid w:val="00F32ECE"/>
    <w:rsid w:val="00F32F15"/>
    <w:rsid w:val="00F33238"/>
    <w:rsid w:val="00F33494"/>
    <w:rsid w:val="00F34565"/>
    <w:rsid w:val="00F35509"/>
    <w:rsid w:val="00F35538"/>
    <w:rsid w:val="00F357EA"/>
    <w:rsid w:val="00F35C0C"/>
    <w:rsid w:val="00F35C41"/>
    <w:rsid w:val="00F35DA9"/>
    <w:rsid w:val="00F360D1"/>
    <w:rsid w:val="00F36118"/>
    <w:rsid w:val="00F368B4"/>
    <w:rsid w:val="00F3709A"/>
    <w:rsid w:val="00F372CA"/>
    <w:rsid w:val="00F3746B"/>
    <w:rsid w:val="00F377D4"/>
    <w:rsid w:val="00F37923"/>
    <w:rsid w:val="00F379C0"/>
    <w:rsid w:val="00F379F2"/>
    <w:rsid w:val="00F37EAA"/>
    <w:rsid w:val="00F40732"/>
    <w:rsid w:val="00F409A9"/>
    <w:rsid w:val="00F40A60"/>
    <w:rsid w:val="00F41002"/>
    <w:rsid w:val="00F41369"/>
    <w:rsid w:val="00F41C6E"/>
    <w:rsid w:val="00F42217"/>
    <w:rsid w:val="00F429BE"/>
    <w:rsid w:val="00F42B5B"/>
    <w:rsid w:val="00F4323E"/>
    <w:rsid w:val="00F43289"/>
    <w:rsid w:val="00F43F17"/>
    <w:rsid w:val="00F43F9E"/>
    <w:rsid w:val="00F440D8"/>
    <w:rsid w:val="00F44B11"/>
    <w:rsid w:val="00F4586E"/>
    <w:rsid w:val="00F45881"/>
    <w:rsid w:val="00F458E3"/>
    <w:rsid w:val="00F45E03"/>
    <w:rsid w:val="00F4655A"/>
    <w:rsid w:val="00F46B59"/>
    <w:rsid w:val="00F46EE4"/>
    <w:rsid w:val="00F46FB9"/>
    <w:rsid w:val="00F47493"/>
    <w:rsid w:val="00F4754A"/>
    <w:rsid w:val="00F47CBE"/>
    <w:rsid w:val="00F508D3"/>
    <w:rsid w:val="00F50A95"/>
    <w:rsid w:val="00F510BE"/>
    <w:rsid w:val="00F514D5"/>
    <w:rsid w:val="00F518E8"/>
    <w:rsid w:val="00F52BEC"/>
    <w:rsid w:val="00F530C5"/>
    <w:rsid w:val="00F53465"/>
    <w:rsid w:val="00F536C8"/>
    <w:rsid w:val="00F53A79"/>
    <w:rsid w:val="00F53D1E"/>
    <w:rsid w:val="00F53DD3"/>
    <w:rsid w:val="00F542C3"/>
    <w:rsid w:val="00F54941"/>
    <w:rsid w:val="00F549DA"/>
    <w:rsid w:val="00F54A8E"/>
    <w:rsid w:val="00F54CC1"/>
    <w:rsid w:val="00F55236"/>
    <w:rsid w:val="00F55548"/>
    <w:rsid w:val="00F555E4"/>
    <w:rsid w:val="00F5599C"/>
    <w:rsid w:val="00F55C73"/>
    <w:rsid w:val="00F57875"/>
    <w:rsid w:val="00F57DFA"/>
    <w:rsid w:val="00F602E8"/>
    <w:rsid w:val="00F60A3C"/>
    <w:rsid w:val="00F60ABF"/>
    <w:rsid w:val="00F60BAA"/>
    <w:rsid w:val="00F615E2"/>
    <w:rsid w:val="00F623B3"/>
    <w:rsid w:val="00F62C5B"/>
    <w:rsid w:val="00F62DBA"/>
    <w:rsid w:val="00F6339F"/>
    <w:rsid w:val="00F6383F"/>
    <w:rsid w:val="00F63C04"/>
    <w:rsid w:val="00F641B8"/>
    <w:rsid w:val="00F647EE"/>
    <w:rsid w:val="00F66188"/>
    <w:rsid w:val="00F661F3"/>
    <w:rsid w:val="00F66B14"/>
    <w:rsid w:val="00F6711F"/>
    <w:rsid w:val="00F6713C"/>
    <w:rsid w:val="00F6717D"/>
    <w:rsid w:val="00F672D0"/>
    <w:rsid w:val="00F67CF0"/>
    <w:rsid w:val="00F709FD"/>
    <w:rsid w:val="00F7191A"/>
    <w:rsid w:val="00F7212C"/>
    <w:rsid w:val="00F7243D"/>
    <w:rsid w:val="00F733A7"/>
    <w:rsid w:val="00F7364C"/>
    <w:rsid w:val="00F7382E"/>
    <w:rsid w:val="00F73B42"/>
    <w:rsid w:val="00F73C2C"/>
    <w:rsid w:val="00F73F80"/>
    <w:rsid w:val="00F7433D"/>
    <w:rsid w:val="00F7456C"/>
    <w:rsid w:val="00F746A5"/>
    <w:rsid w:val="00F74752"/>
    <w:rsid w:val="00F7489C"/>
    <w:rsid w:val="00F74C08"/>
    <w:rsid w:val="00F75242"/>
    <w:rsid w:val="00F754A1"/>
    <w:rsid w:val="00F754AC"/>
    <w:rsid w:val="00F75982"/>
    <w:rsid w:val="00F75EF7"/>
    <w:rsid w:val="00F7693E"/>
    <w:rsid w:val="00F771C0"/>
    <w:rsid w:val="00F773E2"/>
    <w:rsid w:val="00F80777"/>
    <w:rsid w:val="00F811D3"/>
    <w:rsid w:val="00F81349"/>
    <w:rsid w:val="00F815F9"/>
    <w:rsid w:val="00F81B52"/>
    <w:rsid w:val="00F82182"/>
    <w:rsid w:val="00F822A8"/>
    <w:rsid w:val="00F8297B"/>
    <w:rsid w:val="00F82CF2"/>
    <w:rsid w:val="00F83B53"/>
    <w:rsid w:val="00F83C2C"/>
    <w:rsid w:val="00F840F2"/>
    <w:rsid w:val="00F84A2A"/>
    <w:rsid w:val="00F84C9B"/>
    <w:rsid w:val="00F84E11"/>
    <w:rsid w:val="00F852A7"/>
    <w:rsid w:val="00F85A05"/>
    <w:rsid w:val="00F85EC5"/>
    <w:rsid w:val="00F8624D"/>
    <w:rsid w:val="00F86440"/>
    <w:rsid w:val="00F873AE"/>
    <w:rsid w:val="00F901E7"/>
    <w:rsid w:val="00F9042F"/>
    <w:rsid w:val="00F90B96"/>
    <w:rsid w:val="00F90BA3"/>
    <w:rsid w:val="00F91016"/>
    <w:rsid w:val="00F91296"/>
    <w:rsid w:val="00F912BD"/>
    <w:rsid w:val="00F9149E"/>
    <w:rsid w:val="00F9162C"/>
    <w:rsid w:val="00F9167F"/>
    <w:rsid w:val="00F918BD"/>
    <w:rsid w:val="00F94E6A"/>
    <w:rsid w:val="00F954C7"/>
    <w:rsid w:val="00F95B39"/>
    <w:rsid w:val="00F9661A"/>
    <w:rsid w:val="00F9672D"/>
    <w:rsid w:val="00F967E9"/>
    <w:rsid w:val="00F96DAD"/>
    <w:rsid w:val="00F97215"/>
    <w:rsid w:val="00F975BF"/>
    <w:rsid w:val="00F978A6"/>
    <w:rsid w:val="00F9798E"/>
    <w:rsid w:val="00FA01CC"/>
    <w:rsid w:val="00FA0365"/>
    <w:rsid w:val="00FA10F8"/>
    <w:rsid w:val="00FA1571"/>
    <w:rsid w:val="00FA18AB"/>
    <w:rsid w:val="00FA1C0E"/>
    <w:rsid w:val="00FA1FED"/>
    <w:rsid w:val="00FA23D4"/>
    <w:rsid w:val="00FA39D0"/>
    <w:rsid w:val="00FA3DFB"/>
    <w:rsid w:val="00FA4262"/>
    <w:rsid w:val="00FA42E5"/>
    <w:rsid w:val="00FA4919"/>
    <w:rsid w:val="00FA4B3E"/>
    <w:rsid w:val="00FA5E35"/>
    <w:rsid w:val="00FA5E76"/>
    <w:rsid w:val="00FA649F"/>
    <w:rsid w:val="00FA687B"/>
    <w:rsid w:val="00FA6AA7"/>
    <w:rsid w:val="00FA6F44"/>
    <w:rsid w:val="00FA7306"/>
    <w:rsid w:val="00FA73B3"/>
    <w:rsid w:val="00FA7D6A"/>
    <w:rsid w:val="00FB0D47"/>
    <w:rsid w:val="00FB0EE5"/>
    <w:rsid w:val="00FB131A"/>
    <w:rsid w:val="00FB1426"/>
    <w:rsid w:val="00FB1718"/>
    <w:rsid w:val="00FB18DC"/>
    <w:rsid w:val="00FB1C04"/>
    <w:rsid w:val="00FB32EA"/>
    <w:rsid w:val="00FB3481"/>
    <w:rsid w:val="00FB4344"/>
    <w:rsid w:val="00FB43BA"/>
    <w:rsid w:val="00FB444D"/>
    <w:rsid w:val="00FB4D5D"/>
    <w:rsid w:val="00FB5064"/>
    <w:rsid w:val="00FB52CE"/>
    <w:rsid w:val="00FB5A73"/>
    <w:rsid w:val="00FB6116"/>
    <w:rsid w:val="00FB621A"/>
    <w:rsid w:val="00FB693C"/>
    <w:rsid w:val="00FB6E4E"/>
    <w:rsid w:val="00FB7849"/>
    <w:rsid w:val="00FB7F64"/>
    <w:rsid w:val="00FC018A"/>
    <w:rsid w:val="00FC03D7"/>
    <w:rsid w:val="00FC10DD"/>
    <w:rsid w:val="00FC1269"/>
    <w:rsid w:val="00FC12D7"/>
    <w:rsid w:val="00FC137B"/>
    <w:rsid w:val="00FC15BE"/>
    <w:rsid w:val="00FC16EC"/>
    <w:rsid w:val="00FC1EC5"/>
    <w:rsid w:val="00FC1F2A"/>
    <w:rsid w:val="00FC2214"/>
    <w:rsid w:val="00FC25A1"/>
    <w:rsid w:val="00FC2E60"/>
    <w:rsid w:val="00FC431A"/>
    <w:rsid w:val="00FC58A1"/>
    <w:rsid w:val="00FC5A5C"/>
    <w:rsid w:val="00FC5B8B"/>
    <w:rsid w:val="00FC6196"/>
    <w:rsid w:val="00FC6316"/>
    <w:rsid w:val="00FC654C"/>
    <w:rsid w:val="00FC762D"/>
    <w:rsid w:val="00FC767D"/>
    <w:rsid w:val="00FC76AB"/>
    <w:rsid w:val="00FC78F2"/>
    <w:rsid w:val="00FC7A0C"/>
    <w:rsid w:val="00FD00E0"/>
    <w:rsid w:val="00FD0667"/>
    <w:rsid w:val="00FD09D2"/>
    <w:rsid w:val="00FD0C6C"/>
    <w:rsid w:val="00FD140A"/>
    <w:rsid w:val="00FD1B8C"/>
    <w:rsid w:val="00FD2DCC"/>
    <w:rsid w:val="00FD2F38"/>
    <w:rsid w:val="00FD2FA8"/>
    <w:rsid w:val="00FD30C5"/>
    <w:rsid w:val="00FD35D7"/>
    <w:rsid w:val="00FD3DDC"/>
    <w:rsid w:val="00FD3FC9"/>
    <w:rsid w:val="00FD4809"/>
    <w:rsid w:val="00FD4A2C"/>
    <w:rsid w:val="00FD4BAB"/>
    <w:rsid w:val="00FD4DD6"/>
    <w:rsid w:val="00FD4F72"/>
    <w:rsid w:val="00FD556C"/>
    <w:rsid w:val="00FD6151"/>
    <w:rsid w:val="00FD6762"/>
    <w:rsid w:val="00FD7C01"/>
    <w:rsid w:val="00FE00A7"/>
    <w:rsid w:val="00FE02C1"/>
    <w:rsid w:val="00FE0A16"/>
    <w:rsid w:val="00FE11B3"/>
    <w:rsid w:val="00FE18DF"/>
    <w:rsid w:val="00FE1CCF"/>
    <w:rsid w:val="00FE1EBE"/>
    <w:rsid w:val="00FE25ED"/>
    <w:rsid w:val="00FE2C26"/>
    <w:rsid w:val="00FE2C64"/>
    <w:rsid w:val="00FE2F65"/>
    <w:rsid w:val="00FE30C2"/>
    <w:rsid w:val="00FE37A0"/>
    <w:rsid w:val="00FE3ECC"/>
    <w:rsid w:val="00FE429E"/>
    <w:rsid w:val="00FE4679"/>
    <w:rsid w:val="00FE48E3"/>
    <w:rsid w:val="00FE4C36"/>
    <w:rsid w:val="00FE5757"/>
    <w:rsid w:val="00FE5931"/>
    <w:rsid w:val="00FE5C5C"/>
    <w:rsid w:val="00FE6121"/>
    <w:rsid w:val="00FE623F"/>
    <w:rsid w:val="00FE63C6"/>
    <w:rsid w:val="00FE70D7"/>
    <w:rsid w:val="00FE7241"/>
    <w:rsid w:val="00FE7626"/>
    <w:rsid w:val="00FE7714"/>
    <w:rsid w:val="00FE785F"/>
    <w:rsid w:val="00FE7A4F"/>
    <w:rsid w:val="00FE7E1D"/>
    <w:rsid w:val="00FE7FC6"/>
    <w:rsid w:val="00FF0208"/>
    <w:rsid w:val="00FF0AD2"/>
    <w:rsid w:val="00FF0F00"/>
    <w:rsid w:val="00FF1AD3"/>
    <w:rsid w:val="00FF1BBE"/>
    <w:rsid w:val="00FF1E4B"/>
    <w:rsid w:val="00FF2389"/>
    <w:rsid w:val="00FF294C"/>
    <w:rsid w:val="00FF2F63"/>
    <w:rsid w:val="00FF36C9"/>
    <w:rsid w:val="00FF37EA"/>
    <w:rsid w:val="00FF3F9B"/>
    <w:rsid w:val="00FF4157"/>
    <w:rsid w:val="00FF4171"/>
    <w:rsid w:val="00FF4396"/>
    <w:rsid w:val="00FF49A6"/>
    <w:rsid w:val="00FF4C94"/>
    <w:rsid w:val="00FF52C2"/>
    <w:rsid w:val="00FF566F"/>
    <w:rsid w:val="00FF5882"/>
    <w:rsid w:val="00FF5922"/>
    <w:rsid w:val="00FF5ACD"/>
    <w:rsid w:val="00FF5DE6"/>
    <w:rsid w:val="00FF644C"/>
    <w:rsid w:val="00FF64F5"/>
    <w:rsid w:val="00FF6A54"/>
    <w:rsid w:val="00FF6F64"/>
    <w:rsid w:val="00FF7199"/>
    <w:rsid w:val="00FF742C"/>
    <w:rsid w:val="00FF7717"/>
    <w:rsid w:val="00FF7D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4B790"/>
  <w15:chartTrackingRefBased/>
  <w15:docId w15:val="{49DABCCE-A0D7-45EC-A0C4-D4C92562B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565"/>
    <w:rPr>
      <w:rFonts w:ascii="Times New Roman" w:eastAsia="Times New Roman" w:hAnsi="Times New Roman" w:cs="Times New Roman"/>
    </w:rPr>
  </w:style>
  <w:style w:type="paragraph" w:styleId="Heading1">
    <w:name w:val="heading 1"/>
    <w:basedOn w:val="Normal"/>
    <w:next w:val="Normal"/>
    <w:link w:val="Heading1Char"/>
    <w:uiPriority w:val="9"/>
    <w:qFormat/>
    <w:rsid w:val="003B29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29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B29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0E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SAHeading1-Blue">
    <w:name w:val="KSA Heading 1 - Blue"/>
    <w:aliases w:val="Centered"/>
    <w:basedOn w:val="Heading1"/>
    <w:autoRedefine/>
    <w:qFormat/>
    <w:rsid w:val="00810627"/>
    <w:pPr>
      <w:keepNext w:val="0"/>
      <w:keepLines w:val="0"/>
      <w:widowControl w:val="0"/>
      <w:autoSpaceDE w:val="0"/>
      <w:autoSpaceDN w:val="0"/>
      <w:spacing w:before="232" w:line="656" w:lineRule="exact"/>
      <w:ind w:right="592"/>
      <w:jc w:val="center"/>
    </w:pPr>
    <w:rPr>
      <w:rFonts w:ascii="Roboto-Black" w:eastAsia="Roboto-Black" w:hAnsi="Roboto-Black" w:cs="Roboto-Black"/>
      <w:b/>
      <w:bCs/>
      <w:color w:val="5B92E5"/>
      <w:spacing w:val="41"/>
      <w:sz w:val="55"/>
      <w:szCs w:val="55"/>
      <w:lang w:val="en-GB"/>
    </w:rPr>
  </w:style>
  <w:style w:type="character" w:customStyle="1" w:styleId="Heading1Char">
    <w:name w:val="Heading 1 Char"/>
    <w:basedOn w:val="DefaultParagraphFont"/>
    <w:link w:val="Heading1"/>
    <w:uiPriority w:val="9"/>
    <w:rsid w:val="003B29E5"/>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52699D"/>
    <w:rPr>
      <w:sz w:val="20"/>
      <w:szCs w:val="20"/>
    </w:rPr>
  </w:style>
  <w:style w:type="character" w:customStyle="1" w:styleId="Heading2Char">
    <w:name w:val="Heading 2 Char"/>
    <w:basedOn w:val="DefaultParagraphFont"/>
    <w:link w:val="Heading2"/>
    <w:uiPriority w:val="9"/>
    <w:rsid w:val="003B29E5"/>
    <w:rPr>
      <w:rFonts w:asciiTheme="majorHAnsi" w:eastAsiaTheme="majorEastAsia" w:hAnsiTheme="majorHAnsi" w:cstheme="majorBidi"/>
      <w:color w:val="2F5496" w:themeColor="accent1" w:themeShade="BF"/>
      <w:sz w:val="26"/>
      <w:szCs w:val="26"/>
    </w:rPr>
  </w:style>
  <w:style w:type="paragraph" w:customStyle="1" w:styleId="KSABodyCopy-Black">
    <w:name w:val="KSA Body Copy - Black"/>
    <w:basedOn w:val="Normal"/>
    <w:next w:val="BodyText"/>
    <w:autoRedefine/>
    <w:qFormat/>
    <w:rsid w:val="00142699"/>
    <w:pPr>
      <w:jc w:val="both"/>
    </w:pPr>
    <w:rPr>
      <w:rFonts w:ascii="Roboto" w:hAnsi="Roboto"/>
      <w:color w:val="595959" w:themeColor="text1" w:themeTint="A6"/>
      <w:sz w:val="22"/>
      <w:szCs w:val="22"/>
    </w:rPr>
  </w:style>
  <w:style w:type="paragraph" w:styleId="BodyText">
    <w:name w:val="Body Text"/>
    <w:basedOn w:val="Normal"/>
    <w:link w:val="BodyTextChar"/>
    <w:uiPriority w:val="99"/>
    <w:semiHidden/>
    <w:unhideWhenUsed/>
    <w:rsid w:val="003B29E5"/>
    <w:pPr>
      <w:spacing w:after="120"/>
    </w:pPr>
  </w:style>
  <w:style w:type="character" w:customStyle="1" w:styleId="BodyTextChar">
    <w:name w:val="Body Text Char"/>
    <w:basedOn w:val="DefaultParagraphFont"/>
    <w:link w:val="BodyText"/>
    <w:uiPriority w:val="99"/>
    <w:semiHidden/>
    <w:rsid w:val="003B29E5"/>
  </w:style>
  <w:style w:type="paragraph" w:customStyle="1" w:styleId="KSAChapterStyle-White">
    <w:name w:val="KSA Chapter Style - White"/>
    <w:basedOn w:val="Heading3"/>
    <w:next w:val="Heading3"/>
    <w:autoRedefine/>
    <w:qFormat/>
    <w:rsid w:val="003B29E5"/>
    <w:pPr>
      <w:widowControl w:val="0"/>
      <w:autoSpaceDE w:val="0"/>
      <w:autoSpaceDN w:val="0"/>
      <w:ind w:left="106"/>
    </w:pPr>
    <w:rPr>
      <w:color w:val="FFFFFF"/>
      <w:spacing w:val="46"/>
    </w:rPr>
  </w:style>
  <w:style w:type="character" w:customStyle="1" w:styleId="Heading3Char">
    <w:name w:val="Heading 3 Char"/>
    <w:basedOn w:val="DefaultParagraphFont"/>
    <w:link w:val="Heading3"/>
    <w:uiPriority w:val="9"/>
    <w:rsid w:val="003B29E5"/>
    <w:rPr>
      <w:rFonts w:asciiTheme="majorHAnsi" w:eastAsiaTheme="majorEastAsia" w:hAnsiTheme="majorHAnsi" w:cstheme="majorBidi"/>
      <w:color w:val="1F3763" w:themeColor="accent1" w:themeShade="7F"/>
    </w:rPr>
  </w:style>
  <w:style w:type="paragraph" w:customStyle="1" w:styleId="BasicParagraph">
    <w:name w:val="[Basic Paragraph]"/>
    <w:basedOn w:val="Normal"/>
    <w:uiPriority w:val="99"/>
    <w:rsid w:val="007806F7"/>
    <w:pPr>
      <w:autoSpaceDE w:val="0"/>
      <w:autoSpaceDN w:val="0"/>
      <w:bidi/>
      <w:adjustRightInd w:val="0"/>
      <w:spacing w:line="288" w:lineRule="auto"/>
      <w:textAlignment w:val="center"/>
    </w:pPr>
    <w:rPr>
      <w:rFonts w:ascii="AdobeArabic-Regular" w:eastAsiaTheme="minorHAnsi" w:hAnsi="Noto Sans" w:cs="AdobeArabic-Regular"/>
      <w:color w:val="000000"/>
      <w:lang w:bidi="ar-YE"/>
    </w:rPr>
  </w:style>
  <w:style w:type="paragraph" w:styleId="TOCHeading">
    <w:name w:val="TOC Heading"/>
    <w:basedOn w:val="Heading1"/>
    <w:next w:val="Normal"/>
    <w:uiPriority w:val="39"/>
    <w:unhideWhenUsed/>
    <w:qFormat/>
    <w:rsid w:val="00372616"/>
    <w:pPr>
      <w:spacing w:before="480" w:line="276" w:lineRule="auto"/>
      <w:outlineLvl w:val="9"/>
    </w:pPr>
    <w:rPr>
      <w:b/>
      <w:bCs/>
      <w:sz w:val="28"/>
      <w:szCs w:val="28"/>
    </w:rPr>
  </w:style>
  <w:style w:type="paragraph" w:styleId="TOC2">
    <w:name w:val="toc 2"/>
    <w:basedOn w:val="Normal"/>
    <w:next w:val="Normal"/>
    <w:autoRedefine/>
    <w:uiPriority w:val="39"/>
    <w:unhideWhenUsed/>
    <w:rsid w:val="007E6421"/>
    <w:pPr>
      <w:tabs>
        <w:tab w:val="right" w:pos="9016"/>
      </w:tabs>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unhideWhenUsed/>
    <w:rsid w:val="00330CDF"/>
    <w:pPr>
      <w:tabs>
        <w:tab w:val="right" w:pos="9016"/>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372616"/>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372616"/>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72616"/>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72616"/>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72616"/>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72616"/>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72616"/>
    <w:pPr>
      <w:ind w:left="1920"/>
    </w:pPr>
    <w:rPr>
      <w:rFonts w:asciiTheme="minorHAnsi" w:hAnsiTheme="minorHAnsi" w:cstheme="minorHAnsi"/>
      <w:sz w:val="20"/>
      <w:szCs w:val="20"/>
    </w:rPr>
  </w:style>
  <w:style w:type="character" w:customStyle="1" w:styleId="FootnoteTextChar">
    <w:name w:val="Footnote Text Char"/>
    <w:basedOn w:val="DefaultParagraphFont"/>
    <w:link w:val="FootnoteText"/>
    <w:uiPriority w:val="99"/>
    <w:semiHidden/>
    <w:rsid w:val="0052699D"/>
    <w:rPr>
      <w:rFonts w:eastAsiaTheme="minorEastAsia"/>
      <w:sz w:val="20"/>
      <w:szCs w:val="20"/>
    </w:rPr>
  </w:style>
  <w:style w:type="paragraph" w:customStyle="1" w:styleId="KSAHeading2notcentered">
    <w:name w:val="KSA Heading 2 (not centered)"/>
    <w:basedOn w:val="Heading4"/>
    <w:qFormat/>
    <w:rsid w:val="00EF30E3"/>
    <w:rPr>
      <w:rFonts w:ascii="Roboto" w:hAnsi="Roboto"/>
      <w:b/>
      <w:bCs/>
      <w:color w:val="4472C4" w:themeColor="accent1"/>
      <w:sz w:val="55"/>
      <w:szCs w:val="55"/>
    </w:rPr>
  </w:style>
  <w:style w:type="paragraph" w:styleId="Header">
    <w:name w:val="header"/>
    <w:basedOn w:val="Normal"/>
    <w:link w:val="HeaderChar"/>
    <w:uiPriority w:val="99"/>
    <w:unhideWhenUsed/>
    <w:rsid w:val="00EF30E3"/>
    <w:pPr>
      <w:tabs>
        <w:tab w:val="center" w:pos="4680"/>
        <w:tab w:val="right" w:pos="9360"/>
      </w:tabs>
    </w:pPr>
  </w:style>
  <w:style w:type="character" w:customStyle="1" w:styleId="Heading4Char">
    <w:name w:val="Heading 4 Char"/>
    <w:basedOn w:val="DefaultParagraphFont"/>
    <w:link w:val="Heading4"/>
    <w:uiPriority w:val="9"/>
    <w:semiHidden/>
    <w:rsid w:val="00EF30E3"/>
    <w:rPr>
      <w:rFonts w:asciiTheme="majorHAnsi" w:eastAsiaTheme="majorEastAsia" w:hAnsiTheme="majorHAnsi" w:cstheme="majorBidi"/>
      <w:i/>
      <w:iCs/>
      <w:color w:val="2F5496" w:themeColor="accent1" w:themeShade="BF"/>
    </w:rPr>
  </w:style>
  <w:style w:type="character" w:customStyle="1" w:styleId="HeaderChar">
    <w:name w:val="Header Char"/>
    <w:basedOn w:val="DefaultParagraphFont"/>
    <w:link w:val="Header"/>
    <w:uiPriority w:val="99"/>
    <w:rsid w:val="00EF30E3"/>
    <w:rPr>
      <w:rFonts w:eastAsiaTheme="minorEastAsia"/>
    </w:rPr>
  </w:style>
  <w:style w:type="paragraph" w:styleId="Footer">
    <w:name w:val="footer"/>
    <w:basedOn w:val="Normal"/>
    <w:link w:val="FooterChar"/>
    <w:uiPriority w:val="99"/>
    <w:unhideWhenUsed/>
    <w:rsid w:val="00EF30E3"/>
    <w:pPr>
      <w:tabs>
        <w:tab w:val="center" w:pos="4680"/>
        <w:tab w:val="right" w:pos="9360"/>
      </w:tabs>
    </w:pPr>
  </w:style>
  <w:style w:type="character" w:customStyle="1" w:styleId="FooterChar">
    <w:name w:val="Footer Char"/>
    <w:basedOn w:val="DefaultParagraphFont"/>
    <w:link w:val="Footer"/>
    <w:uiPriority w:val="99"/>
    <w:rsid w:val="00EF30E3"/>
    <w:rPr>
      <w:rFonts w:eastAsiaTheme="minorEastAsia"/>
    </w:rPr>
  </w:style>
  <w:style w:type="character" w:styleId="PageNumber">
    <w:name w:val="page number"/>
    <w:basedOn w:val="DefaultParagraphFont"/>
    <w:uiPriority w:val="99"/>
    <w:semiHidden/>
    <w:unhideWhenUsed/>
    <w:rsid w:val="00EF30E3"/>
  </w:style>
  <w:style w:type="paragraph" w:styleId="NormalWeb">
    <w:name w:val="Normal (Web)"/>
    <w:basedOn w:val="Normal"/>
    <w:uiPriority w:val="99"/>
    <w:unhideWhenUsed/>
    <w:rsid w:val="00AD7BDC"/>
    <w:pPr>
      <w:spacing w:before="100" w:beforeAutospacing="1" w:after="100" w:afterAutospacing="1"/>
    </w:pPr>
  </w:style>
  <w:style w:type="paragraph" w:styleId="Revision">
    <w:name w:val="Revision"/>
    <w:hidden/>
    <w:uiPriority w:val="99"/>
    <w:semiHidden/>
    <w:rsid w:val="00205B42"/>
    <w:rPr>
      <w:rFonts w:eastAsiaTheme="minorEastAsia"/>
    </w:rPr>
  </w:style>
  <w:style w:type="paragraph" w:styleId="CommentText">
    <w:name w:val="annotation text"/>
    <w:basedOn w:val="Normal"/>
    <w:link w:val="CommentTextChar"/>
    <w:uiPriority w:val="99"/>
    <w:unhideWhenUsed/>
    <w:rsid w:val="00F852A7"/>
    <w:rPr>
      <w:sz w:val="20"/>
      <w:szCs w:val="20"/>
    </w:rPr>
  </w:style>
  <w:style w:type="character" w:styleId="Hyperlink">
    <w:name w:val="Hyperlink"/>
    <w:basedOn w:val="DefaultParagraphFont"/>
    <w:uiPriority w:val="99"/>
    <w:unhideWhenUsed/>
    <w:rsid w:val="00A8651D"/>
    <w:rPr>
      <w:color w:val="0563C1" w:themeColor="hyperlink"/>
      <w:u w:val="single"/>
    </w:rPr>
  </w:style>
  <w:style w:type="character" w:customStyle="1" w:styleId="CommentTextChar">
    <w:name w:val="Comment Text Char"/>
    <w:basedOn w:val="DefaultParagraphFont"/>
    <w:link w:val="CommentText"/>
    <w:uiPriority w:val="99"/>
    <w:rsid w:val="00F852A7"/>
    <w:rPr>
      <w:rFonts w:eastAsiaTheme="minorEastAsia"/>
      <w:sz w:val="20"/>
      <w:szCs w:val="20"/>
    </w:rPr>
  </w:style>
  <w:style w:type="character" w:styleId="CommentReference">
    <w:name w:val="annotation reference"/>
    <w:basedOn w:val="DefaultParagraphFont"/>
    <w:uiPriority w:val="99"/>
    <w:semiHidden/>
    <w:unhideWhenUsed/>
    <w:rsid w:val="00F852A7"/>
    <w:rPr>
      <w:sz w:val="16"/>
      <w:szCs w:val="16"/>
    </w:rPr>
  </w:style>
  <w:style w:type="table" w:styleId="TableGrid">
    <w:name w:val="Table Grid"/>
    <w:basedOn w:val="TableNormal"/>
    <w:uiPriority w:val="39"/>
    <w:rsid w:val="00846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F5B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9546C1"/>
    <w:rPr>
      <w:b/>
      <w:bCs/>
    </w:rPr>
  </w:style>
  <w:style w:type="character" w:customStyle="1" w:styleId="CommentSubjectChar">
    <w:name w:val="Comment Subject Char"/>
    <w:basedOn w:val="CommentTextChar"/>
    <w:link w:val="CommentSubject"/>
    <w:uiPriority w:val="99"/>
    <w:semiHidden/>
    <w:rsid w:val="009546C1"/>
    <w:rPr>
      <w:rFonts w:eastAsiaTheme="minorEastAsia"/>
      <w:b/>
      <w:bCs/>
      <w:sz w:val="20"/>
      <w:szCs w:val="20"/>
    </w:rPr>
  </w:style>
  <w:style w:type="paragraph" w:customStyle="1" w:styleId="KSASubHead2-Blue">
    <w:name w:val="KSA Sub Head 2 - Blue"/>
    <w:basedOn w:val="Normal"/>
    <w:next w:val="Heading2"/>
    <w:autoRedefine/>
    <w:qFormat/>
    <w:rsid w:val="009F6DAE"/>
    <w:pPr>
      <w:widowControl w:val="0"/>
      <w:autoSpaceDE w:val="0"/>
      <w:autoSpaceDN w:val="0"/>
      <w:spacing w:line="476" w:lineRule="exact"/>
      <w:ind w:right="615"/>
    </w:pPr>
    <w:rPr>
      <w:rFonts w:ascii="Roboto Condensed" w:eastAsia="Helvetica-Light" w:hAnsi="Helvetica-Light" w:cs="Helvetica-Light"/>
      <w:iCs/>
      <w:color w:val="FFFFFF" w:themeColor="background1"/>
      <w:sz w:val="48"/>
      <w:szCs w:val="48"/>
    </w:rPr>
  </w:style>
  <w:style w:type="paragraph" w:customStyle="1" w:styleId="KSAChapterHeading-White">
    <w:name w:val="KSA Chapter Heading - White"/>
    <w:basedOn w:val="Heading3"/>
    <w:qFormat/>
    <w:rsid w:val="009F6DAE"/>
    <w:rPr>
      <w:rFonts w:ascii="Roboto" w:hAnsi="Roboto"/>
      <w:b/>
      <w:bCs/>
      <w:color w:val="FFFFFF" w:themeColor="background1"/>
      <w:sz w:val="56"/>
      <w:szCs w:val="56"/>
    </w:rPr>
  </w:style>
  <w:style w:type="paragraph" w:customStyle="1" w:styleId="KSASubHead1-Blue">
    <w:name w:val="KSA Sub Head 1 - Blue"/>
    <w:basedOn w:val="NormalWeb"/>
    <w:qFormat/>
    <w:rsid w:val="00587D7E"/>
    <w:pPr>
      <w:spacing w:before="0" w:beforeAutospacing="0" w:after="0" w:afterAutospacing="0"/>
      <w:jc w:val="both"/>
    </w:pPr>
    <w:rPr>
      <w:rFonts w:ascii="Roboto Condensed" w:hAnsi="Roboto Condensed" w:cs="Calibri"/>
      <w:color w:val="4472C4" w:themeColor="accent1"/>
      <w:sz w:val="28"/>
      <w:szCs w:val="28"/>
      <w:lang w:val="en-GB"/>
    </w:rPr>
  </w:style>
  <w:style w:type="character" w:styleId="FootnoteReference">
    <w:name w:val="footnote reference"/>
    <w:basedOn w:val="DefaultParagraphFont"/>
    <w:uiPriority w:val="99"/>
    <w:semiHidden/>
    <w:unhideWhenUsed/>
    <w:rsid w:val="0052699D"/>
    <w:rPr>
      <w:vertAlign w:val="superscript"/>
    </w:rPr>
  </w:style>
  <w:style w:type="table" w:customStyle="1" w:styleId="TableGrid2">
    <w:name w:val="Table Grid2"/>
    <w:basedOn w:val="TableNormal"/>
    <w:next w:val="TableGrid"/>
    <w:uiPriority w:val="39"/>
    <w:rsid w:val="00792C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2A2B"/>
    <w:pPr>
      <w:ind w:left="720"/>
      <w:contextualSpacing/>
    </w:pPr>
  </w:style>
  <w:style w:type="paragraph" w:customStyle="1" w:styleId="KSASmallSub">
    <w:name w:val="KSA Small Sub"/>
    <w:basedOn w:val="KSASubHead1-Blue"/>
    <w:qFormat/>
    <w:rsid w:val="003077A6"/>
    <w:pPr>
      <w:spacing w:before="240" w:after="240"/>
      <w:ind w:left="288" w:right="288"/>
    </w:pPr>
    <w:rPr>
      <w:bCs/>
      <w:caps/>
      <w:sz w:val="24"/>
      <w:szCs w:val="24"/>
    </w:rPr>
  </w:style>
  <w:style w:type="character" w:styleId="UnresolvedMention">
    <w:name w:val="Unresolved Mention"/>
    <w:basedOn w:val="DefaultParagraphFont"/>
    <w:uiPriority w:val="99"/>
    <w:semiHidden/>
    <w:unhideWhenUsed/>
    <w:rsid w:val="002F1E11"/>
    <w:rPr>
      <w:color w:val="605E5C"/>
      <w:shd w:val="clear" w:color="auto" w:fill="E1DFDD"/>
    </w:rPr>
  </w:style>
  <w:style w:type="table" w:styleId="PlainTable1">
    <w:name w:val="Plain Table 1"/>
    <w:basedOn w:val="TableNormal"/>
    <w:uiPriority w:val="41"/>
    <w:rsid w:val="00063D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871C7A"/>
    <w:rPr>
      <w:sz w:val="20"/>
      <w:szCs w:val="20"/>
    </w:rPr>
  </w:style>
  <w:style w:type="character" w:customStyle="1" w:styleId="EndnoteTextChar">
    <w:name w:val="Endnote Text Char"/>
    <w:basedOn w:val="DefaultParagraphFont"/>
    <w:link w:val="EndnoteText"/>
    <w:uiPriority w:val="99"/>
    <w:semiHidden/>
    <w:rsid w:val="00871C7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71C7A"/>
    <w:rPr>
      <w:vertAlign w:val="superscript"/>
    </w:rPr>
  </w:style>
  <w:style w:type="paragraph" w:customStyle="1" w:styleId="Default">
    <w:name w:val="Default"/>
    <w:rsid w:val="00640F88"/>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356">
      <w:bodyDiv w:val="1"/>
      <w:marLeft w:val="0"/>
      <w:marRight w:val="0"/>
      <w:marTop w:val="0"/>
      <w:marBottom w:val="0"/>
      <w:divBdr>
        <w:top w:val="none" w:sz="0" w:space="0" w:color="auto"/>
        <w:left w:val="none" w:sz="0" w:space="0" w:color="auto"/>
        <w:bottom w:val="none" w:sz="0" w:space="0" w:color="auto"/>
        <w:right w:val="none" w:sz="0" w:space="0" w:color="auto"/>
      </w:divBdr>
    </w:div>
    <w:div w:id="32778437">
      <w:bodyDiv w:val="1"/>
      <w:marLeft w:val="0"/>
      <w:marRight w:val="0"/>
      <w:marTop w:val="0"/>
      <w:marBottom w:val="0"/>
      <w:divBdr>
        <w:top w:val="none" w:sz="0" w:space="0" w:color="auto"/>
        <w:left w:val="none" w:sz="0" w:space="0" w:color="auto"/>
        <w:bottom w:val="none" w:sz="0" w:space="0" w:color="auto"/>
        <w:right w:val="none" w:sz="0" w:space="0" w:color="auto"/>
      </w:divBdr>
    </w:div>
    <w:div w:id="36009832">
      <w:bodyDiv w:val="1"/>
      <w:marLeft w:val="0"/>
      <w:marRight w:val="0"/>
      <w:marTop w:val="0"/>
      <w:marBottom w:val="0"/>
      <w:divBdr>
        <w:top w:val="none" w:sz="0" w:space="0" w:color="auto"/>
        <w:left w:val="none" w:sz="0" w:space="0" w:color="auto"/>
        <w:bottom w:val="none" w:sz="0" w:space="0" w:color="auto"/>
        <w:right w:val="none" w:sz="0" w:space="0" w:color="auto"/>
      </w:divBdr>
    </w:div>
    <w:div w:id="45879740">
      <w:bodyDiv w:val="1"/>
      <w:marLeft w:val="0"/>
      <w:marRight w:val="0"/>
      <w:marTop w:val="0"/>
      <w:marBottom w:val="0"/>
      <w:divBdr>
        <w:top w:val="none" w:sz="0" w:space="0" w:color="auto"/>
        <w:left w:val="none" w:sz="0" w:space="0" w:color="auto"/>
        <w:bottom w:val="none" w:sz="0" w:space="0" w:color="auto"/>
        <w:right w:val="none" w:sz="0" w:space="0" w:color="auto"/>
      </w:divBdr>
    </w:div>
    <w:div w:id="63920198">
      <w:bodyDiv w:val="1"/>
      <w:marLeft w:val="0"/>
      <w:marRight w:val="0"/>
      <w:marTop w:val="0"/>
      <w:marBottom w:val="0"/>
      <w:divBdr>
        <w:top w:val="none" w:sz="0" w:space="0" w:color="auto"/>
        <w:left w:val="none" w:sz="0" w:space="0" w:color="auto"/>
        <w:bottom w:val="none" w:sz="0" w:space="0" w:color="auto"/>
        <w:right w:val="none" w:sz="0" w:space="0" w:color="auto"/>
      </w:divBdr>
    </w:div>
    <w:div w:id="69081668">
      <w:bodyDiv w:val="1"/>
      <w:marLeft w:val="0"/>
      <w:marRight w:val="0"/>
      <w:marTop w:val="0"/>
      <w:marBottom w:val="0"/>
      <w:divBdr>
        <w:top w:val="none" w:sz="0" w:space="0" w:color="auto"/>
        <w:left w:val="none" w:sz="0" w:space="0" w:color="auto"/>
        <w:bottom w:val="none" w:sz="0" w:space="0" w:color="auto"/>
        <w:right w:val="none" w:sz="0" w:space="0" w:color="auto"/>
      </w:divBdr>
    </w:div>
    <w:div w:id="162858732">
      <w:bodyDiv w:val="1"/>
      <w:marLeft w:val="0"/>
      <w:marRight w:val="0"/>
      <w:marTop w:val="0"/>
      <w:marBottom w:val="0"/>
      <w:divBdr>
        <w:top w:val="none" w:sz="0" w:space="0" w:color="auto"/>
        <w:left w:val="none" w:sz="0" w:space="0" w:color="auto"/>
        <w:bottom w:val="none" w:sz="0" w:space="0" w:color="auto"/>
        <w:right w:val="none" w:sz="0" w:space="0" w:color="auto"/>
      </w:divBdr>
    </w:div>
    <w:div w:id="183902190">
      <w:bodyDiv w:val="1"/>
      <w:marLeft w:val="0"/>
      <w:marRight w:val="0"/>
      <w:marTop w:val="0"/>
      <w:marBottom w:val="0"/>
      <w:divBdr>
        <w:top w:val="none" w:sz="0" w:space="0" w:color="auto"/>
        <w:left w:val="none" w:sz="0" w:space="0" w:color="auto"/>
        <w:bottom w:val="none" w:sz="0" w:space="0" w:color="auto"/>
        <w:right w:val="none" w:sz="0" w:space="0" w:color="auto"/>
      </w:divBdr>
    </w:div>
    <w:div w:id="251820816">
      <w:bodyDiv w:val="1"/>
      <w:marLeft w:val="0"/>
      <w:marRight w:val="0"/>
      <w:marTop w:val="0"/>
      <w:marBottom w:val="0"/>
      <w:divBdr>
        <w:top w:val="none" w:sz="0" w:space="0" w:color="auto"/>
        <w:left w:val="none" w:sz="0" w:space="0" w:color="auto"/>
        <w:bottom w:val="none" w:sz="0" w:space="0" w:color="auto"/>
        <w:right w:val="none" w:sz="0" w:space="0" w:color="auto"/>
      </w:divBdr>
    </w:div>
    <w:div w:id="294524987">
      <w:bodyDiv w:val="1"/>
      <w:marLeft w:val="0"/>
      <w:marRight w:val="0"/>
      <w:marTop w:val="0"/>
      <w:marBottom w:val="0"/>
      <w:divBdr>
        <w:top w:val="none" w:sz="0" w:space="0" w:color="auto"/>
        <w:left w:val="none" w:sz="0" w:space="0" w:color="auto"/>
        <w:bottom w:val="none" w:sz="0" w:space="0" w:color="auto"/>
        <w:right w:val="none" w:sz="0" w:space="0" w:color="auto"/>
      </w:divBdr>
    </w:div>
    <w:div w:id="296499489">
      <w:bodyDiv w:val="1"/>
      <w:marLeft w:val="0"/>
      <w:marRight w:val="0"/>
      <w:marTop w:val="0"/>
      <w:marBottom w:val="0"/>
      <w:divBdr>
        <w:top w:val="none" w:sz="0" w:space="0" w:color="auto"/>
        <w:left w:val="none" w:sz="0" w:space="0" w:color="auto"/>
        <w:bottom w:val="none" w:sz="0" w:space="0" w:color="auto"/>
        <w:right w:val="none" w:sz="0" w:space="0" w:color="auto"/>
      </w:divBdr>
    </w:div>
    <w:div w:id="308680786">
      <w:bodyDiv w:val="1"/>
      <w:marLeft w:val="0"/>
      <w:marRight w:val="0"/>
      <w:marTop w:val="0"/>
      <w:marBottom w:val="0"/>
      <w:divBdr>
        <w:top w:val="none" w:sz="0" w:space="0" w:color="auto"/>
        <w:left w:val="none" w:sz="0" w:space="0" w:color="auto"/>
        <w:bottom w:val="none" w:sz="0" w:space="0" w:color="auto"/>
        <w:right w:val="none" w:sz="0" w:space="0" w:color="auto"/>
      </w:divBdr>
    </w:div>
    <w:div w:id="345138177">
      <w:bodyDiv w:val="1"/>
      <w:marLeft w:val="0"/>
      <w:marRight w:val="0"/>
      <w:marTop w:val="0"/>
      <w:marBottom w:val="0"/>
      <w:divBdr>
        <w:top w:val="none" w:sz="0" w:space="0" w:color="auto"/>
        <w:left w:val="none" w:sz="0" w:space="0" w:color="auto"/>
        <w:bottom w:val="none" w:sz="0" w:space="0" w:color="auto"/>
        <w:right w:val="none" w:sz="0" w:space="0" w:color="auto"/>
      </w:divBdr>
    </w:div>
    <w:div w:id="412896557">
      <w:bodyDiv w:val="1"/>
      <w:marLeft w:val="0"/>
      <w:marRight w:val="0"/>
      <w:marTop w:val="0"/>
      <w:marBottom w:val="0"/>
      <w:divBdr>
        <w:top w:val="none" w:sz="0" w:space="0" w:color="auto"/>
        <w:left w:val="none" w:sz="0" w:space="0" w:color="auto"/>
        <w:bottom w:val="none" w:sz="0" w:space="0" w:color="auto"/>
        <w:right w:val="none" w:sz="0" w:space="0" w:color="auto"/>
      </w:divBdr>
    </w:div>
    <w:div w:id="453527242">
      <w:bodyDiv w:val="1"/>
      <w:marLeft w:val="0"/>
      <w:marRight w:val="0"/>
      <w:marTop w:val="0"/>
      <w:marBottom w:val="0"/>
      <w:divBdr>
        <w:top w:val="none" w:sz="0" w:space="0" w:color="auto"/>
        <w:left w:val="none" w:sz="0" w:space="0" w:color="auto"/>
        <w:bottom w:val="none" w:sz="0" w:space="0" w:color="auto"/>
        <w:right w:val="none" w:sz="0" w:space="0" w:color="auto"/>
      </w:divBdr>
    </w:div>
    <w:div w:id="480467242">
      <w:bodyDiv w:val="1"/>
      <w:marLeft w:val="0"/>
      <w:marRight w:val="0"/>
      <w:marTop w:val="0"/>
      <w:marBottom w:val="0"/>
      <w:divBdr>
        <w:top w:val="none" w:sz="0" w:space="0" w:color="auto"/>
        <w:left w:val="none" w:sz="0" w:space="0" w:color="auto"/>
        <w:bottom w:val="none" w:sz="0" w:space="0" w:color="auto"/>
        <w:right w:val="none" w:sz="0" w:space="0" w:color="auto"/>
      </w:divBdr>
    </w:div>
    <w:div w:id="627392713">
      <w:bodyDiv w:val="1"/>
      <w:marLeft w:val="0"/>
      <w:marRight w:val="0"/>
      <w:marTop w:val="0"/>
      <w:marBottom w:val="0"/>
      <w:divBdr>
        <w:top w:val="none" w:sz="0" w:space="0" w:color="auto"/>
        <w:left w:val="none" w:sz="0" w:space="0" w:color="auto"/>
        <w:bottom w:val="none" w:sz="0" w:space="0" w:color="auto"/>
        <w:right w:val="none" w:sz="0" w:space="0" w:color="auto"/>
      </w:divBdr>
    </w:div>
    <w:div w:id="727606423">
      <w:bodyDiv w:val="1"/>
      <w:marLeft w:val="0"/>
      <w:marRight w:val="0"/>
      <w:marTop w:val="0"/>
      <w:marBottom w:val="0"/>
      <w:divBdr>
        <w:top w:val="none" w:sz="0" w:space="0" w:color="auto"/>
        <w:left w:val="none" w:sz="0" w:space="0" w:color="auto"/>
        <w:bottom w:val="none" w:sz="0" w:space="0" w:color="auto"/>
        <w:right w:val="none" w:sz="0" w:space="0" w:color="auto"/>
      </w:divBdr>
    </w:div>
    <w:div w:id="742490018">
      <w:bodyDiv w:val="1"/>
      <w:marLeft w:val="0"/>
      <w:marRight w:val="0"/>
      <w:marTop w:val="0"/>
      <w:marBottom w:val="0"/>
      <w:divBdr>
        <w:top w:val="none" w:sz="0" w:space="0" w:color="auto"/>
        <w:left w:val="none" w:sz="0" w:space="0" w:color="auto"/>
        <w:bottom w:val="none" w:sz="0" w:space="0" w:color="auto"/>
        <w:right w:val="none" w:sz="0" w:space="0" w:color="auto"/>
      </w:divBdr>
    </w:div>
    <w:div w:id="803083493">
      <w:bodyDiv w:val="1"/>
      <w:marLeft w:val="0"/>
      <w:marRight w:val="0"/>
      <w:marTop w:val="0"/>
      <w:marBottom w:val="0"/>
      <w:divBdr>
        <w:top w:val="none" w:sz="0" w:space="0" w:color="auto"/>
        <w:left w:val="none" w:sz="0" w:space="0" w:color="auto"/>
        <w:bottom w:val="none" w:sz="0" w:space="0" w:color="auto"/>
        <w:right w:val="none" w:sz="0" w:space="0" w:color="auto"/>
      </w:divBdr>
    </w:div>
    <w:div w:id="856699257">
      <w:bodyDiv w:val="1"/>
      <w:marLeft w:val="0"/>
      <w:marRight w:val="0"/>
      <w:marTop w:val="0"/>
      <w:marBottom w:val="0"/>
      <w:divBdr>
        <w:top w:val="none" w:sz="0" w:space="0" w:color="auto"/>
        <w:left w:val="none" w:sz="0" w:space="0" w:color="auto"/>
        <w:bottom w:val="none" w:sz="0" w:space="0" w:color="auto"/>
        <w:right w:val="none" w:sz="0" w:space="0" w:color="auto"/>
      </w:divBdr>
    </w:div>
    <w:div w:id="883254178">
      <w:bodyDiv w:val="1"/>
      <w:marLeft w:val="0"/>
      <w:marRight w:val="0"/>
      <w:marTop w:val="0"/>
      <w:marBottom w:val="0"/>
      <w:divBdr>
        <w:top w:val="none" w:sz="0" w:space="0" w:color="auto"/>
        <w:left w:val="none" w:sz="0" w:space="0" w:color="auto"/>
        <w:bottom w:val="none" w:sz="0" w:space="0" w:color="auto"/>
        <w:right w:val="none" w:sz="0" w:space="0" w:color="auto"/>
      </w:divBdr>
    </w:div>
    <w:div w:id="1031689412">
      <w:bodyDiv w:val="1"/>
      <w:marLeft w:val="0"/>
      <w:marRight w:val="0"/>
      <w:marTop w:val="0"/>
      <w:marBottom w:val="0"/>
      <w:divBdr>
        <w:top w:val="none" w:sz="0" w:space="0" w:color="auto"/>
        <w:left w:val="none" w:sz="0" w:space="0" w:color="auto"/>
        <w:bottom w:val="none" w:sz="0" w:space="0" w:color="auto"/>
        <w:right w:val="none" w:sz="0" w:space="0" w:color="auto"/>
      </w:divBdr>
    </w:div>
    <w:div w:id="1101412805">
      <w:bodyDiv w:val="1"/>
      <w:marLeft w:val="0"/>
      <w:marRight w:val="0"/>
      <w:marTop w:val="0"/>
      <w:marBottom w:val="0"/>
      <w:divBdr>
        <w:top w:val="none" w:sz="0" w:space="0" w:color="auto"/>
        <w:left w:val="none" w:sz="0" w:space="0" w:color="auto"/>
        <w:bottom w:val="none" w:sz="0" w:space="0" w:color="auto"/>
        <w:right w:val="none" w:sz="0" w:space="0" w:color="auto"/>
      </w:divBdr>
    </w:div>
    <w:div w:id="1166477188">
      <w:bodyDiv w:val="1"/>
      <w:marLeft w:val="0"/>
      <w:marRight w:val="0"/>
      <w:marTop w:val="0"/>
      <w:marBottom w:val="0"/>
      <w:divBdr>
        <w:top w:val="none" w:sz="0" w:space="0" w:color="auto"/>
        <w:left w:val="none" w:sz="0" w:space="0" w:color="auto"/>
        <w:bottom w:val="none" w:sz="0" w:space="0" w:color="auto"/>
        <w:right w:val="none" w:sz="0" w:space="0" w:color="auto"/>
      </w:divBdr>
    </w:div>
    <w:div w:id="1180004649">
      <w:bodyDiv w:val="1"/>
      <w:marLeft w:val="0"/>
      <w:marRight w:val="0"/>
      <w:marTop w:val="0"/>
      <w:marBottom w:val="0"/>
      <w:divBdr>
        <w:top w:val="none" w:sz="0" w:space="0" w:color="auto"/>
        <w:left w:val="none" w:sz="0" w:space="0" w:color="auto"/>
        <w:bottom w:val="none" w:sz="0" w:space="0" w:color="auto"/>
        <w:right w:val="none" w:sz="0" w:space="0" w:color="auto"/>
      </w:divBdr>
    </w:div>
    <w:div w:id="1207713591">
      <w:bodyDiv w:val="1"/>
      <w:marLeft w:val="0"/>
      <w:marRight w:val="0"/>
      <w:marTop w:val="0"/>
      <w:marBottom w:val="0"/>
      <w:divBdr>
        <w:top w:val="none" w:sz="0" w:space="0" w:color="auto"/>
        <w:left w:val="none" w:sz="0" w:space="0" w:color="auto"/>
        <w:bottom w:val="none" w:sz="0" w:space="0" w:color="auto"/>
        <w:right w:val="none" w:sz="0" w:space="0" w:color="auto"/>
      </w:divBdr>
    </w:div>
    <w:div w:id="1235051385">
      <w:bodyDiv w:val="1"/>
      <w:marLeft w:val="0"/>
      <w:marRight w:val="0"/>
      <w:marTop w:val="0"/>
      <w:marBottom w:val="0"/>
      <w:divBdr>
        <w:top w:val="none" w:sz="0" w:space="0" w:color="auto"/>
        <w:left w:val="none" w:sz="0" w:space="0" w:color="auto"/>
        <w:bottom w:val="none" w:sz="0" w:space="0" w:color="auto"/>
        <w:right w:val="none" w:sz="0" w:space="0" w:color="auto"/>
      </w:divBdr>
    </w:div>
    <w:div w:id="1309826845">
      <w:bodyDiv w:val="1"/>
      <w:marLeft w:val="0"/>
      <w:marRight w:val="0"/>
      <w:marTop w:val="0"/>
      <w:marBottom w:val="0"/>
      <w:divBdr>
        <w:top w:val="none" w:sz="0" w:space="0" w:color="auto"/>
        <w:left w:val="none" w:sz="0" w:space="0" w:color="auto"/>
        <w:bottom w:val="none" w:sz="0" w:space="0" w:color="auto"/>
        <w:right w:val="none" w:sz="0" w:space="0" w:color="auto"/>
      </w:divBdr>
    </w:div>
    <w:div w:id="1481313729">
      <w:bodyDiv w:val="1"/>
      <w:marLeft w:val="0"/>
      <w:marRight w:val="0"/>
      <w:marTop w:val="0"/>
      <w:marBottom w:val="0"/>
      <w:divBdr>
        <w:top w:val="none" w:sz="0" w:space="0" w:color="auto"/>
        <w:left w:val="none" w:sz="0" w:space="0" w:color="auto"/>
        <w:bottom w:val="none" w:sz="0" w:space="0" w:color="auto"/>
        <w:right w:val="none" w:sz="0" w:space="0" w:color="auto"/>
      </w:divBdr>
    </w:div>
    <w:div w:id="1581594770">
      <w:bodyDiv w:val="1"/>
      <w:marLeft w:val="0"/>
      <w:marRight w:val="0"/>
      <w:marTop w:val="0"/>
      <w:marBottom w:val="0"/>
      <w:divBdr>
        <w:top w:val="none" w:sz="0" w:space="0" w:color="auto"/>
        <w:left w:val="none" w:sz="0" w:space="0" w:color="auto"/>
        <w:bottom w:val="none" w:sz="0" w:space="0" w:color="auto"/>
        <w:right w:val="none" w:sz="0" w:space="0" w:color="auto"/>
      </w:divBdr>
    </w:div>
    <w:div w:id="1684362505">
      <w:bodyDiv w:val="1"/>
      <w:marLeft w:val="0"/>
      <w:marRight w:val="0"/>
      <w:marTop w:val="0"/>
      <w:marBottom w:val="0"/>
      <w:divBdr>
        <w:top w:val="none" w:sz="0" w:space="0" w:color="auto"/>
        <w:left w:val="none" w:sz="0" w:space="0" w:color="auto"/>
        <w:bottom w:val="none" w:sz="0" w:space="0" w:color="auto"/>
        <w:right w:val="none" w:sz="0" w:space="0" w:color="auto"/>
      </w:divBdr>
    </w:div>
    <w:div w:id="1805155404">
      <w:bodyDiv w:val="1"/>
      <w:marLeft w:val="0"/>
      <w:marRight w:val="0"/>
      <w:marTop w:val="0"/>
      <w:marBottom w:val="0"/>
      <w:divBdr>
        <w:top w:val="none" w:sz="0" w:space="0" w:color="auto"/>
        <w:left w:val="none" w:sz="0" w:space="0" w:color="auto"/>
        <w:bottom w:val="none" w:sz="0" w:space="0" w:color="auto"/>
        <w:right w:val="none" w:sz="0" w:space="0" w:color="auto"/>
      </w:divBdr>
    </w:div>
    <w:div w:id="1854223061">
      <w:bodyDiv w:val="1"/>
      <w:marLeft w:val="0"/>
      <w:marRight w:val="0"/>
      <w:marTop w:val="0"/>
      <w:marBottom w:val="0"/>
      <w:divBdr>
        <w:top w:val="none" w:sz="0" w:space="0" w:color="auto"/>
        <w:left w:val="none" w:sz="0" w:space="0" w:color="auto"/>
        <w:bottom w:val="none" w:sz="0" w:space="0" w:color="auto"/>
        <w:right w:val="none" w:sz="0" w:space="0" w:color="auto"/>
      </w:divBdr>
    </w:div>
    <w:div w:id="1863321509">
      <w:bodyDiv w:val="1"/>
      <w:marLeft w:val="0"/>
      <w:marRight w:val="0"/>
      <w:marTop w:val="0"/>
      <w:marBottom w:val="0"/>
      <w:divBdr>
        <w:top w:val="none" w:sz="0" w:space="0" w:color="auto"/>
        <w:left w:val="none" w:sz="0" w:space="0" w:color="auto"/>
        <w:bottom w:val="none" w:sz="0" w:space="0" w:color="auto"/>
        <w:right w:val="none" w:sz="0" w:space="0" w:color="auto"/>
      </w:divBdr>
    </w:div>
    <w:div w:id="1864976262">
      <w:bodyDiv w:val="1"/>
      <w:marLeft w:val="0"/>
      <w:marRight w:val="0"/>
      <w:marTop w:val="0"/>
      <w:marBottom w:val="0"/>
      <w:divBdr>
        <w:top w:val="none" w:sz="0" w:space="0" w:color="auto"/>
        <w:left w:val="none" w:sz="0" w:space="0" w:color="auto"/>
        <w:bottom w:val="none" w:sz="0" w:space="0" w:color="auto"/>
        <w:right w:val="none" w:sz="0" w:space="0" w:color="auto"/>
      </w:divBdr>
    </w:div>
    <w:div w:id="1866022101">
      <w:bodyDiv w:val="1"/>
      <w:marLeft w:val="0"/>
      <w:marRight w:val="0"/>
      <w:marTop w:val="0"/>
      <w:marBottom w:val="0"/>
      <w:divBdr>
        <w:top w:val="none" w:sz="0" w:space="0" w:color="auto"/>
        <w:left w:val="none" w:sz="0" w:space="0" w:color="auto"/>
        <w:bottom w:val="none" w:sz="0" w:space="0" w:color="auto"/>
        <w:right w:val="none" w:sz="0" w:space="0" w:color="auto"/>
      </w:divBdr>
    </w:div>
    <w:div w:id="1896770129">
      <w:bodyDiv w:val="1"/>
      <w:marLeft w:val="0"/>
      <w:marRight w:val="0"/>
      <w:marTop w:val="0"/>
      <w:marBottom w:val="0"/>
      <w:divBdr>
        <w:top w:val="none" w:sz="0" w:space="0" w:color="auto"/>
        <w:left w:val="none" w:sz="0" w:space="0" w:color="auto"/>
        <w:bottom w:val="none" w:sz="0" w:space="0" w:color="auto"/>
        <w:right w:val="none" w:sz="0" w:space="0" w:color="auto"/>
      </w:divBdr>
    </w:div>
    <w:div w:id="1903372353">
      <w:bodyDiv w:val="1"/>
      <w:marLeft w:val="0"/>
      <w:marRight w:val="0"/>
      <w:marTop w:val="0"/>
      <w:marBottom w:val="0"/>
      <w:divBdr>
        <w:top w:val="none" w:sz="0" w:space="0" w:color="auto"/>
        <w:left w:val="none" w:sz="0" w:space="0" w:color="auto"/>
        <w:bottom w:val="none" w:sz="0" w:space="0" w:color="auto"/>
        <w:right w:val="none" w:sz="0" w:space="0" w:color="auto"/>
      </w:divBdr>
    </w:div>
    <w:div w:id="1905485443">
      <w:bodyDiv w:val="1"/>
      <w:marLeft w:val="0"/>
      <w:marRight w:val="0"/>
      <w:marTop w:val="0"/>
      <w:marBottom w:val="0"/>
      <w:divBdr>
        <w:top w:val="none" w:sz="0" w:space="0" w:color="auto"/>
        <w:left w:val="none" w:sz="0" w:space="0" w:color="auto"/>
        <w:bottom w:val="none" w:sz="0" w:space="0" w:color="auto"/>
        <w:right w:val="none" w:sz="0" w:space="0" w:color="auto"/>
      </w:divBdr>
      <w:divsChild>
        <w:div w:id="15929615">
          <w:marLeft w:val="-115"/>
          <w:marRight w:val="0"/>
          <w:marTop w:val="0"/>
          <w:marBottom w:val="0"/>
          <w:divBdr>
            <w:top w:val="none" w:sz="0" w:space="0" w:color="auto"/>
            <w:left w:val="none" w:sz="0" w:space="0" w:color="auto"/>
            <w:bottom w:val="none" w:sz="0" w:space="0" w:color="auto"/>
            <w:right w:val="none" w:sz="0" w:space="0" w:color="auto"/>
          </w:divBdr>
        </w:div>
        <w:div w:id="535850231">
          <w:marLeft w:val="-7"/>
          <w:marRight w:val="0"/>
          <w:marTop w:val="0"/>
          <w:marBottom w:val="0"/>
          <w:divBdr>
            <w:top w:val="none" w:sz="0" w:space="0" w:color="auto"/>
            <w:left w:val="none" w:sz="0" w:space="0" w:color="auto"/>
            <w:bottom w:val="none" w:sz="0" w:space="0" w:color="auto"/>
            <w:right w:val="none" w:sz="0" w:space="0" w:color="auto"/>
          </w:divBdr>
        </w:div>
      </w:divsChild>
    </w:div>
    <w:div w:id="1923417447">
      <w:bodyDiv w:val="1"/>
      <w:marLeft w:val="0"/>
      <w:marRight w:val="0"/>
      <w:marTop w:val="0"/>
      <w:marBottom w:val="0"/>
      <w:divBdr>
        <w:top w:val="none" w:sz="0" w:space="0" w:color="auto"/>
        <w:left w:val="none" w:sz="0" w:space="0" w:color="auto"/>
        <w:bottom w:val="none" w:sz="0" w:space="0" w:color="auto"/>
        <w:right w:val="none" w:sz="0" w:space="0" w:color="auto"/>
      </w:divBdr>
    </w:div>
    <w:div w:id="1926300882">
      <w:bodyDiv w:val="1"/>
      <w:marLeft w:val="0"/>
      <w:marRight w:val="0"/>
      <w:marTop w:val="0"/>
      <w:marBottom w:val="0"/>
      <w:divBdr>
        <w:top w:val="none" w:sz="0" w:space="0" w:color="auto"/>
        <w:left w:val="none" w:sz="0" w:space="0" w:color="auto"/>
        <w:bottom w:val="none" w:sz="0" w:space="0" w:color="auto"/>
        <w:right w:val="none" w:sz="0" w:space="0" w:color="auto"/>
      </w:divBdr>
    </w:div>
    <w:div w:id="1966766926">
      <w:bodyDiv w:val="1"/>
      <w:marLeft w:val="0"/>
      <w:marRight w:val="0"/>
      <w:marTop w:val="0"/>
      <w:marBottom w:val="0"/>
      <w:divBdr>
        <w:top w:val="none" w:sz="0" w:space="0" w:color="auto"/>
        <w:left w:val="none" w:sz="0" w:space="0" w:color="auto"/>
        <w:bottom w:val="none" w:sz="0" w:space="0" w:color="auto"/>
        <w:right w:val="none" w:sz="0" w:space="0" w:color="auto"/>
      </w:divBdr>
    </w:div>
    <w:div w:id="1980107645">
      <w:bodyDiv w:val="1"/>
      <w:marLeft w:val="0"/>
      <w:marRight w:val="0"/>
      <w:marTop w:val="0"/>
      <w:marBottom w:val="0"/>
      <w:divBdr>
        <w:top w:val="none" w:sz="0" w:space="0" w:color="auto"/>
        <w:left w:val="none" w:sz="0" w:space="0" w:color="auto"/>
        <w:bottom w:val="none" w:sz="0" w:space="0" w:color="auto"/>
        <w:right w:val="none" w:sz="0" w:space="0" w:color="auto"/>
      </w:divBdr>
    </w:div>
    <w:div w:id="2027175211">
      <w:bodyDiv w:val="1"/>
      <w:marLeft w:val="0"/>
      <w:marRight w:val="0"/>
      <w:marTop w:val="0"/>
      <w:marBottom w:val="0"/>
      <w:divBdr>
        <w:top w:val="none" w:sz="0" w:space="0" w:color="auto"/>
        <w:left w:val="none" w:sz="0" w:space="0" w:color="auto"/>
        <w:bottom w:val="none" w:sz="0" w:space="0" w:color="auto"/>
        <w:right w:val="none" w:sz="0" w:space="0" w:color="auto"/>
      </w:divBdr>
    </w:div>
    <w:div w:id="2076465638">
      <w:bodyDiv w:val="1"/>
      <w:marLeft w:val="0"/>
      <w:marRight w:val="0"/>
      <w:marTop w:val="0"/>
      <w:marBottom w:val="0"/>
      <w:divBdr>
        <w:top w:val="none" w:sz="0" w:space="0" w:color="auto"/>
        <w:left w:val="none" w:sz="0" w:space="0" w:color="auto"/>
        <w:bottom w:val="none" w:sz="0" w:space="0" w:color="auto"/>
        <w:right w:val="none" w:sz="0" w:space="0" w:color="auto"/>
      </w:divBdr>
    </w:div>
    <w:div w:id="20900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26.png"/><Relationship Id="rId54" Type="http://schemas.openxmlformats.org/officeDocument/2006/relationships/image" Target="media/image27.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4.xml"/><Relationship Id="rId40" Type="http://schemas.openxmlformats.org/officeDocument/2006/relationships/image" Target="media/image25.png"/><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3.xml"/><Relationship Id="rId49" Type="http://schemas.openxmlformats.org/officeDocument/2006/relationships/chart" Target="charts/chart12.xml"/><Relationship Id="rId57" Type="http://schemas.openxmlformats.org/officeDocument/2006/relationships/chart" Target="charts/chart18.xml"/><Relationship Id="rId61" Type="http://schemas.openxmlformats.org/officeDocument/2006/relationships/image" Target="media/image32.jpe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2.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chart" Target="charts/chart17.xml"/><Relationship Id="rId8" Type="http://schemas.openxmlformats.org/officeDocument/2006/relationships/image" Target="media/image1.emf"/><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3.png"/><Relationship Id="rId46" Type="http://schemas.openxmlformats.org/officeDocument/2006/relationships/chart" Target="charts/chart9.xml"/><Relationship Id="rId59" Type="http://schemas.openxmlformats.org/officeDocument/2006/relationships/image" Target="media/image30.png"/></Relationships>
</file>

<file path=word/_rels/endnotes.xml.rels><?xml version="1.0" encoding="UTF-8" standalone="yes"?>
<Relationships xmlns="http://schemas.openxmlformats.org/package/2006/relationships"><Relationship Id="rId1" Type="http://schemas.openxmlformats.org/officeDocument/2006/relationships/hyperlink" Target="https://www.un.org/sustainabledevelopment/sustainable-development-goa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sa/sites/default/files/SDG%20report%202020EN.xls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8285\Desktop\Github%20Repos\Quantitative%20Analysis%20of%20Human%20Rights%20and%20Vulnerable%20Groups%20for%20193%20Countries\Auto%20Figure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18285\Desktop\RCO-UNCT-Economist-Toolkit\Quantitative%20Analysis%20of%20Human%20Rights%20and%20Vulnerable%20Groups%20for%20197%20Countries\Auto%20Figure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8285\Desktop\CF\Excel%20Submissions\Funding%20Pie%20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8285\Desktop\CF\Excel%20Submissions\Funding%20Pie%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Abby\Downloads\Auto%20Figure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2: Zero Hunger</a:t>
            </a:r>
          </a:p>
          <a:p>
            <a:pPr>
              <a:defRPr sz="1400" b="1"/>
            </a:pPr>
            <a:r>
              <a:rPr lang="en-US" sz="800" b="0">
                <a:solidFill>
                  <a:schemeClr val="tx1">
                    <a:lumMod val="75000"/>
                    <a:lumOff val="25000"/>
                  </a:schemeClr>
                </a:solidFill>
                <a:latin typeface="Roboto" panose="02000000000000000000" pitchFamily="2" charset="0"/>
                <a:ea typeface="Roboto" panose="02000000000000000000" pitchFamily="2" charset="0"/>
              </a:rPr>
              <a:t>Most Vulnerable Groups: Children</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T5B5'!$E$2:$E$22</c:f>
              <c:numCache>
                <c:formatCode>0.0</c:formatCode>
                <c:ptCount val="21"/>
                <c:pt idx="0">
                  <c:v>58.878578186035156</c:v>
                </c:pt>
                <c:pt idx="1">
                  <c:v>58.059944152832031</c:v>
                </c:pt>
                <c:pt idx="2">
                  <c:v>58.053993225097656</c:v>
                </c:pt>
                <c:pt idx="3">
                  <c:v>60.756187438964844</c:v>
                </c:pt>
                <c:pt idx="4">
                  <c:v>61.902755737304688</c:v>
                </c:pt>
                <c:pt idx="5">
                  <c:v>63.550861358642578</c:v>
                </c:pt>
                <c:pt idx="6">
                  <c:v>63.218070983886719</c:v>
                </c:pt>
                <c:pt idx="7">
                  <c:v>63.877109527587891</c:v>
                </c:pt>
                <c:pt idx="8">
                  <c:v>63.889976501464844</c:v>
                </c:pt>
                <c:pt idx="9">
                  <c:v>63.999423980712891</c:v>
                </c:pt>
                <c:pt idx="10">
                  <c:v>63.999423980712891</c:v>
                </c:pt>
                <c:pt idx="11">
                  <c:v>63.999423980712891</c:v>
                </c:pt>
              </c:numCache>
            </c:numRef>
          </c:val>
          <c:smooth val="0"/>
          <c:extLst>
            <c:ext xmlns:c16="http://schemas.microsoft.com/office/drawing/2014/chart" uri="{C3380CC4-5D6E-409C-BE32-E72D297353CC}">
              <c16:uniqueId val="{00000000-0CAC-B04C-B25F-9FDA05E95955}"/>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T5B5'!$E$23:$E$43</c:f>
              <c:numCache>
                <c:formatCode>General</c:formatCode>
                <c:ptCount val="21"/>
                <c:pt idx="11" formatCode="0.0">
                  <c:v>63.999423980712891</c:v>
                </c:pt>
                <c:pt idx="12" formatCode="0.0">
                  <c:v>64.385795593261719</c:v>
                </c:pt>
                <c:pt idx="13" formatCode="0.0">
                  <c:v>64.774505615234375</c:v>
                </c:pt>
                <c:pt idx="14" formatCode="0.0">
                  <c:v>65.165550231933594</c:v>
                </c:pt>
                <c:pt idx="15" formatCode="0.0">
                  <c:v>65.558967590332031</c:v>
                </c:pt>
                <c:pt idx="16" formatCode="0.0">
                  <c:v>65.954757690429688</c:v>
                </c:pt>
                <c:pt idx="17" formatCode="0.0">
                  <c:v>66.352928161621094</c:v>
                </c:pt>
                <c:pt idx="18" formatCode="0.0">
                  <c:v>66.753509521484375</c:v>
                </c:pt>
                <c:pt idx="19" formatCode="0.0">
                  <c:v>67.156509399414063</c:v>
                </c:pt>
                <c:pt idx="20" formatCode="0.0">
                  <c:v>67.561943054199219</c:v>
                </c:pt>
              </c:numCache>
            </c:numRef>
          </c:val>
          <c:smooth val="0"/>
          <c:extLst>
            <c:ext xmlns:c16="http://schemas.microsoft.com/office/drawing/2014/chart" uri="{C3380CC4-5D6E-409C-BE32-E72D297353CC}">
              <c16:uniqueId val="{00000001-0CAC-B04C-B25F-9FDA05E95955}"/>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T5B5'!$E$44:$E$64</c:f>
              <c:numCache>
                <c:formatCode>General</c:formatCode>
                <c:ptCount val="21"/>
                <c:pt idx="11" formatCode="0.0">
                  <c:v>63.999423980712891</c:v>
                </c:pt>
                <c:pt idx="12" formatCode="0.0">
                  <c:v>64.150230407714844</c:v>
                </c:pt>
                <c:pt idx="13" formatCode="0.0">
                  <c:v>64.3013916015625</c:v>
                </c:pt>
                <c:pt idx="14" formatCode="0.0">
                  <c:v>64.452911376953125</c:v>
                </c:pt>
                <c:pt idx="15" formatCode="0.0">
                  <c:v>64.604782104492188</c:v>
                </c:pt>
                <c:pt idx="16" formatCode="0.0">
                  <c:v>64.75701904296875</c:v>
                </c:pt>
                <c:pt idx="17" formatCode="0.0">
                  <c:v>64.90960693359375</c:v>
                </c:pt>
                <c:pt idx="18" formatCode="0.0">
                  <c:v>65.062553405761719</c:v>
                </c:pt>
                <c:pt idx="19" formatCode="0.0">
                  <c:v>65.215866088867188</c:v>
                </c:pt>
                <c:pt idx="20" formatCode="0.0">
                  <c:v>65.369537353515625</c:v>
                </c:pt>
              </c:numCache>
            </c:numRef>
          </c:val>
          <c:smooth val="0"/>
          <c:extLst>
            <c:ext xmlns:c16="http://schemas.microsoft.com/office/drawing/2014/chart" uri="{C3380CC4-5D6E-409C-BE32-E72D297353CC}">
              <c16:uniqueId val="{00000002-0CAC-B04C-B25F-9FDA05E95955}"/>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T5B5'!$E$65:$E$85</c:f>
              <c:numCache>
                <c:formatCode>General</c:formatCode>
                <c:ptCount val="21"/>
                <c:pt idx="11" formatCode="0.0">
                  <c:v>63.999423980712891</c:v>
                </c:pt>
                <c:pt idx="12" formatCode="0.0">
                  <c:v>63.794086456298828</c:v>
                </c:pt>
                <c:pt idx="13" formatCode="0.0">
                  <c:v>63.589408874511719</c:v>
                </c:pt>
                <c:pt idx="14" formatCode="0.0">
                  <c:v>63.385387420654297</c:v>
                </c:pt>
                <c:pt idx="15" formatCode="0.0">
                  <c:v>63.182018280029297</c:v>
                </c:pt>
                <c:pt idx="16" formatCode="0.0">
                  <c:v>62.979305267333984</c:v>
                </c:pt>
                <c:pt idx="17" formatCode="0.0">
                  <c:v>62.777240753173828</c:v>
                </c:pt>
                <c:pt idx="18" formatCode="0.0">
                  <c:v>62.575824737548828</c:v>
                </c:pt>
                <c:pt idx="19" formatCode="0.0">
                  <c:v>62.375053405761719</c:v>
                </c:pt>
                <c:pt idx="20" formatCode="0.0">
                  <c:v>62.174930572509766</c:v>
                </c:pt>
              </c:numCache>
            </c:numRef>
          </c:val>
          <c:smooth val="0"/>
          <c:extLst>
            <c:ext xmlns:c16="http://schemas.microsoft.com/office/drawing/2014/chart" uri="{C3380CC4-5D6E-409C-BE32-E72D297353CC}">
              <c16:uniqueId val="{00000003-0CAC-B04C-B25F-9FDA05E95955}"/>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5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Roboto" panose="02000000000000000000" pitchFamily="2" charset="0"/>
                <a:ea typeface="Roboto" panose="02000000000000000000" pitchFamily="2" charset="0"/>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8: Decent Work and Economic Growth</a:t>
            </a:r>
          </a:p>
          <a:p>
            <a:pPr>
              <a:defRPr sz="1400" b="1">
                <a:latin typeface="Roboto" panose="02000000000000000000" pitchFamily="2" charset="0"/>
                <a:ea typeface="Roboto" panose="02000000000000000000" pitchFamily="2" charset="0"/>
              </a:defRPr>
            </a:pPr>
            <a:r>
              <a:rPr lang="en-US" sz="800" b="0">
                <a:solidFill>
                  <a:schemeClr val="tx1">
                    <a:lumMod val="75000"/>
                    <a:lumOff val="25000"/>
                  </a:schemeClr>
                </a:solidFill>
                <a:latin typeface="Roboto" panose="02000000000000000000" pitchFamily="2" charset="0"/>
                <a:ea typeface="Roboto" panose="02000000000000000000" pitchFamily="2" charset="0"/>
              </a:rPr>
              <a:t>Most</a:t>
            </a:r>
            <a:r>
              <a:rPr lang="en-US" sz="800" b="0" baseline="0">
                <a:solidFill>
                  <a:schemeClr val="tx1">
                    <a:lumMod val="75000"/>
                    <a:lumOff val="25000"/>
                  </a:schemeClr>
                </a:solidFill>
                <a:latin typeface="Roboto" panose="02000000000000000000" pitchFamily="2" charset="0"/>
                <a:ea typeface="Roboto" panose="02000000000000000000" pitchFamily="2" charset="0"/>
              </a:rPr>
              <a:t> Vulnerable Groups: Women and Girls, Children, Migrants</a:t>
            </a:r>
            <a:endParaRPr lang="en-US" sz="800" b="0">
              <a:solidFill>
                <a:schemeClr val="tx1">
                  <a:lumMod val="75000"/>
                  <a:lumOff val="25000"/>
                </a:schemeClr>
              </a:solidFill>
              <a:latin typeface="Roboto" panose="02000000000000000000" pitchFamily="2" charset="0"/>
              <a:ea typeface="Roboto" panose="02000000000000000000" pitchFamily="2" charset="0"/>
            </a:endParaRP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T5B5'!$K$2:$K$22</c:f>
              <c:numCache>
                <c:formatCode>0.0</c:formatCode>
                <c:ptCount val="21"/>
                <c:pt idx="0">
                  <c:v>64.322662353515625</c:v>
                </c:pt>
                <c:pt idx="1">
                  <c:v>64.106132507324219</c:v>
                </c:pt>
                <c:pt idx="2">
                  <c:v>64.352195739746094</c:v>
                </c:pt>
                <c:pt idx="3">
                  <c:v>64.302978515625</c:v>
                </c:pt>
                <c:pt idx="4">
                  <c:v>70.402359008789063</c:v>
                </c:pt>
                <c:pt idx="5">
                  <c:v>71.217803955078125</c:v>
                </c:pt>
                <c:pt idx="6">
                  <c:v>71.15875244140625</c:v>
                </c:pt>
                <c:pt idx="7">
                  <c:v>71.544265747070313</c:v>
                </c:pt>
                <c:pt idx="8">
                  <c:v>71.396629333496094</c:v>
                </c:pt>
                <c:pt idx="9">
                  <c:v>71.308052062988281</c:v>
                </c:pt>
                <c:pt idx="10">
                  <c:v>69.250961303710938</c:v>
                </c:pt>
                <c:pt idx="11">
                  <c:v>69.250961303710938</c:v>
                </c:pt>
              </c:numCache>
            </c:numRef>
          </c:val>
          <c:smooth val="0"/>
          <c:extLst>
            <c:ext xmlns:c16="http://schemas.microsoft.com/office/drawing/2014/chart" uri="{C3380CC4-5D6E-409C-BE32-E72D297353CC}">
              <c16:uniqueId val="{00000000-7568-6841-8F39-B166B45A5901}"/>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T5B5'!$K$23:$K$43</c:f>
              <c:numCache>
                <c:formatCode>General</c:formatCode>
                <c:ptCount val="21"/>
                <c:pt idx="11" formatCode="0.0">
                  <c:v>69.250961303710938</c:v>
                </c:pt>
                <c:pt idx="12" formatCode="0.0">
                  <c:v>69.706275939941406</c:v>
                </c:pt>
                <c:pt idx="13" formatCode="0.0">
                  <c:v>70.164581298828125</c:v>
                </c:pt>
                <c:pt idx="14" formatCode="0.0">
                  <c:v>70.625907897949219</c:v>
                </c:pt>
                <c:pt idx="15" formatCode="0.0">
                  <c:v>71.090263366699219</c:v>
                </c:pt>
                <c:pt idx="16" formatCode="0.0">
                  <c:v>71.557670593261719</c:v>
                </c:pt>
                <c:pt idx="17" formatCode="0.0">
                  <c:v>72.028152465820313</c:v>
                </c:pt>
                <c:pt idx="18" formatCode="0.0">
                  <c:v>72.501724243164063</c:v>
                </c:pt>
                <c:pt idx="19" formatCode="0.0">
                  <c:v>72.978408813476563</c:v>
                </c:pt>
                <c:pt idx="20" formatCode="0.0">
                  <c:v>73.458229064941406</c:v>
                </c:pt>
              </c:numCache>
            </c:numRef>
          </c:val>
          <c:smooth val="0"/>
          <c:extLst>
            <c:ext xmlns:c16="http://schemas.microsoft.com/office/drawing/2014/chart" uri="{C3380CC4-5D6E-409C-BE32-E72D297353CC}">
              <c16:uniqueId val="{00000001-7568-6841-8F39-B166B45A5901}"/>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T5B5'!$K$44:$K$64</c:f>
              <c:numCache>
                <c:formatCode>General</c:formatCode>
                <c:ptCount val="21"/>
                <c:pt idx="11" formatCode="0.0">
                  <c:v>69.250961303710938</c:v>
                </c:pt>
                <c:pt idx="12" formatCode="0.0">
                  <c:v>69.888015747070313</c:v>
                </c:pt>
                <c:pt idx="13" formatCode="0.0">
                  <c:v>70.530921936035156</c:v>
                </c:pt>
                <c:pt idx="14" formatCode="0.0">
                  <c:v>71.17974853515625</c:v>
                </c:pt>
                <c:pt idx="15" formatCode="0.0">
                  <c:v>71.834541320800781</c:v>
                </c:pt>
                <c:pt idx="16" formatCode="0.0">
                  <c:v>72.495361328125</c:v>
                </c:pt>
                <c:pt idx="17" formatCode="0.0">
                  <c:v>73.162261962890625</c:v>
                </c:pt>
                <c:pt idx="18" formatCode="0.0">
                  <c:v>73.835289001464844</c:v>
                </c:pt>
                <c:pt idx="19" formatCode="0.0">
                  <c:v>74.514511108398438</c:v>
                </c:pt>
                <c:pt idx="20" formatCode="0.0">
                  <c:v>75.199989318847656</c:v>
                </c:pt>
              </c:numCache>
            </c:numRef>
          </c:val>
          <c:smooth val="0"/>
          <c:extLst>
            <c:ext xmlns:c16="http://schemas.microsoft.com/office/drawing/2014/chart" uri="{C3380CC4-5D6E-409C-BE32-E72D297353CC}">
              <c16:uniqueId val="{00000002-7568-6841-8F39-B166B45A5901}"/>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T5B5'!$K$65:$K$85</c:f>
              <c:numCache>
                <c:formatCode>General</c:formatCode>
                <c:ptCount val="21"/>
                <c:pt idx="11" formatCode="0.0">
                  <c:v>69.250961303710938</c:v>
                </c:pt>
                <c:pt idx="12" formatCode="0.0">
                  <c:v>69.219223022460938</c:v>
                </c:pt>
                <c:pt idx="13" formatCode="0.0">
                  <c:v>69.1875</c:v>
                </c:pt>
                <c:pt idx="14" formatCode="0.0">
                  <c:v>69.155792236328125</c:v>
                </c:pt>
                <c:pt idx="15" formatCode="0.0">
                  <c:v>69.124099731445313</c:v>
                </c:pt>
                <c:pt idx="16" formatCode="0.0">
                  <c:v>69.092422485351563</c:v>
                </c:pt>
                <c:pt idx="17" formatCode="0.0">
                  <c:v>69.060760498046875</c:v>
                </c:pt>
                <c:pt idx="18" formatCode="0.0">
                  <c:v>69.029106140136719</c:v>
                </c:pt>
                <c:pt idx="19" formatCode="0.0">
                  <c:v>68.997474670410156</c:v>
                </c:pt>
                <c:pt idx="20" formatCode="0.0">
                  <c:v>68.965850830078125</c:v>
                </c:pt>
              </c:numCache>
            </c:numRef>
          </c:val>
          <c:smooth val="0"/>
          <c:extLst>
            <c:ext xmlns:c16="http://schemas.microsoft.com/office/drawing/2014/chart" uri="{C3380CC4-5D6E-409C-BE32-E72D297353CC}">
              <c16:uniqueId val="{00000003-7568-6841-8F39-B166B45A5901}"/>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Roboto" panose="02000000000000000000" pitchFamily="2" charset="0"/>
                <a:ea typeface="Roboto" panose="02000000000000000000" pitchFamily="2" charset="0"/>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9: Industry, Innovation, and Infrastructure</a:t>
            </a:r>
          </a:p>
          <a:p>
            <a:pPr>
              <a:defRPr sz="1400" b="1">
                <a:latin typeface="Roboto" panose="02000000000000000000" pitchFamily="2" charset="0"/>
                <a:ea typeface="Roboto" panose="02000000000000000000" pitchFamily="2" charset="0"/>
              </a:defRPr>
            </a:pPr>
            <a:r>
              <a:rPr lang="en-US" sz="800" b="0">
                <a:solidFill>
                  <a:schemeClr val="tx1">
                    <a:lumMod val="75000"/>
                    <a:lumOff val="25000"/>
                  </a:schemeClr>
                </a:solidFill>
                <a:latin typeface="Roboto" panose="02000000000000000000" pitchFamily="2" charset="0"/>
                <a:ea typeface="Roboto" panose="02000000000000000000" pitchFamily="2" charset="0"/>
              </a:rPr>
              <a:t>Most Vulnerable</a:t>
            </a:r>
            <a:r>
              <a:rPr lang="en-US" sz="800" b="0" baseline="0">
                <a:solidFill>
                  <a:schemeClr val="tx1">
                    <a:lumMod val="75000"/>
                    <a:lumOff val="25000"/>
                  </a:schemeClr>
                </a:solidFill>
                <a:latin typeface="Roboto" panose="02000000000000000000" pitchFamily="2" charset="0"/>
                <a:ea typeface="Roboto" panose="02000000000000000000" pitchFamily="2" charset="0"/>
              </a:rPr>
              <a:t> Groups: Women and Girls, Persons with Disabilities</a:t>
            </a:r>
            <a:endParaRPr lang="en-US" sz="800" b="0">
              <a:solidFill>
                <a:schemeClr val="tx1">
                  <a:lumMod val="75000"/>
                  <a:lumOff val="25000"/>
                </a:schemeClr>
              </a:solidFill>
              <a:latin typeface="Roboto" panose="02000000000000000000" pitchFamily="2" charset="0"/>
              <a:ea typeface="Roboto" panose="02000000000000000000" pitchFamily="2" charset="0"/>
            </a:endParaRP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T5B5'!$L$2:$L$22</c:f>
              <c:numCache>
                <c:formatCode>0.0</c:formatCode>
                <c:ptCount val="21"/>
                <c:pt idx="0">
                  <c:v>45.045978546142578</c:v>
                </c:pt>
                <c:pt idx="1">
                  <c:v>49.236888885498047</c:v>
                </c:pt>
                <c:pt idx="2">
                  <c:v>52.750194549560547</c:v>
                </c:pt>
                <c:pt idx="3">
                  <c:v>58.675548553466797</c:v>
                </c:pt>
                <c:pt idx="4">
                  <c:v>62.814304351806641</c:v>
                </c:pt>
                <c:pt idx="5">
                  <c:v>64.844970703125</c:v>
                </c:pt>
                <c:pt idx="6">
                  <c:v>60.610893249511719</c:v>
                </c:pt>
                <c:pt idx="7">
                  <c:v>64.696266174316406</c:v>
                </c:pt>
                <c:pt idx="8">
                  <c:v>67.671951293945313</c:v>
                </c:pt>
                <c:pt idx="9">
                  <c:v>68.083503723144531</c:v>
                </c:pt>
                <c:pt idx="10">
                  <c:v>68.083503723144531</c:v>
                </c:pt>
                <c:pt idx="11">
                  <c:v>68.083503723144531</c:v>
                </c:pt>
              </c:numCache>
            </c:numRef>
          </c:val>
          <c:smooth val="0"/>
          <c:extLst>
            <c:ext xmlns:c16="http://schemas.microsoft.com/office/drawing/2014/chart" uri="{C3380CC4-5D6E-409C-BE32-E72D297353CC}">
              <c16:uniqueId val="{00000000-7EDB-F942-BDB4-BB65D239A4F0}"/>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T5B5'!$L$23:$L$43</c:f>
              <c:numCache>
                <c:formatCode>General</c:formatCode>
                <c:ptCount val="21"/>
                <c:pt idx="11" formatCode="0.0">
                  <c:v>68.083503723144531</c:v>
                </c:pt>
                <c:pt idx="12" formatCode="0.0">
                  <c:v>69.456504821777344</c:v>
                </c:pt>
                <c:pt idx="13" formatCode="0.0">
                  <c:v>70.857192993164063</c:v>
                </c:pt>
                <c:pt idx="14" formatCode="0.0">
                  <c:v>72.286125183105469</c:v>
                </c:pt>
                <c:pt idx="15" formatCode="0.0">
                  <c:v>73.743881225585938</c:v>
                </c:pt>
                <c:pt idx="16" formatCode="0.0">
                  <c:v>75.231025695800781</c:v>
                </c:pt>
                <c:pt idx="17" formatCode="0.0">
                  <c:v>76.7481689453125</c:v>
                </c:pt>
                <c:pt idx="18" formatCode="0.0">
                  <c:v>78.295906066894531</c:v>
                </c:pt>
                <c:pt idx="19" formatCode="0.0">
                  <c:v>79.874847412109375</c:v>
                </c:pt>
                <c:pt idx="20" formatCode="0.0">
                  <c:v>81.485641479492188</c:v>
                </c:pt>
              </c:numCache>
            </c:numRef>
          </c:val>
          <c:smooth val="0"/>
          <c:extLst>
            <c:ext xmlns:c16="http://schemas.microsoft.com/office/drawing/2014/chart" uri="{C3380CC4-5D6E-409C-BE32-E72D297353CC}">
              <c16:uniqueId val="{00000001-7EDB-F942-BDB4-BB65D239A4F0}"/>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T5B5'!$L$44:$L$64</c:f>
              <c:numCache>
                <c:formatCode>General</c:formatCode>
                <c:ptCount val="21"/>
                <c:pt idx="11" formatCode="0.0">
                  <c:v>68.083503723144531</c:v>
                </c:pt>
                <c:pt idx="12" formatCode="0.0">
                  <c:v>69.270591735839844</c:v>
                </c:pt>
                <c:pt idx="13" formatCode="0.0">
                  <c:v>70.478370666503906</c:v>
                </c:pt>
                <c:pt idx="14" formatCode="0.0">
                  <c:v>71.70721435546875</c:v>
                </c:pt>
                <c:pt idx="15" formatCode="0.0">
                  <c:v>72.957473754882813</c:v>
                </c:pt>
                <c:pt idx="16" formatCode="0.0">
                  <c:v>74.229545593261719</c:v>
                </c:pt>
                <c:pt idx="17" formatCode="0.0">
                  <c:v>75.523788452148438</c:v>
                </c:pt>
                <c:pt idx="18" formatCode="0.0">
                  <c:v>76.840599060058594</c:v>
                </c:pt>
                <c:pt idx="19" formatCode="0.0">
                  <c:v>78.180366516113281</c:v>
                </c:pt>
                <c:pt idx="20" formatCode="0.0">
                  <c:v>79.543502807617188</c:v>
                </c:pt>
              </c:numCache>
            </c:numRef>
          </c:val>
          <c:smooth val="0"/>
          <c:extLst>
            <c:ext xmlns:c16="http://schemas.microsoft.com/office/drawing/2014/chart" uri="{C3380CC4-5D6E-409C-BE32-E72D297353CC}">
              <c16:uniqueId val="{00000002-7EDB-F942-BDB4-BB65D239A4F0}"/>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T5B5'!$L$65:$L$85</c:f>
              <c:numCache>
                <c:formatCode>General</c:formatCode>
                <c:ptCount val="21"/>
                <c:pt idx="11" formatCode="0.0">
                  <c:v>68.083503723144531</c:v>
                </c:pt>
                <c:pt idx="12" formatCode="0.0">
                  <c:v>68.503334045410156</c:v>
                </c:pt>
                <c:pt idx="13" formatCode="0.0">
                  <c:v>68.925743103027344</c:v>
                </c:pt>
                <c:pt idx="14" formatCode="0.0">
                  <c:v>69.35076904296875</c:v>
                </c:pt>
                <c:pt idx="15" formatCode="0.0">
                  <c:v>69.778404235839844</c:v>
                </c:pt>
                <c:pt idx="16" formatCode="0.0">
                  <c:v>70.208686828613281</c:v>
                </c:pt>
                <c:pt idx="17" formatCode="0.0">
                  <c:v>70.641616821289063</c:v>
                </c:pt>
                <c:pt idx="18" formatCode="0.0">
                  <c:v>71.077217102050781</c:v>
                </c:pt>
                <c:pt idx="19" formatCode="0.0">
                  <c:v>71.5155029296875</c:v>
                </c:pt>
                <c:pt idx="20" formatCode="0.0">
                  <c:v>71.956497192382813</c:v>
                </c:pt>
              </c:numCache>
            </c:numRef>
          </c:val>
          <c:smooth val="0"/>
          <c:extLst>
            <c:ext xmlns:c16="http://schemas.microsoft.com/office/drawing/2014/chart" uri="{C3380CC4-5D6E-409C-BE32-E72D297353CC}">
              <c16:uniqueId val="{00000003-7EDB-F942-BDB4-BB65D239A4F0}"/>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a:pPr>
            <a:r>
              <a:rPr lang="en-US" sz="950"/>
              <a:t>SDG 11: Sustainable Cities and Communities</a:t>
            </a:r>
          </a:p>
          <a:p>
            <a:pPr>
              <a:defRPr sz="950"/>
            </a:pPr>
            <a:r>
              <a:rPr lang="en-US" sz="800" b="0"/>
              <a:t>Most Vulnerable Groups: Children, Persons with Disabilities, Refugees and Asylum Seekers, Migrants</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T5B5'!$N$2:$N$22</c:f>
              <c:numCache>
                <c:formatCode>0.0</c:formatCode>
                <c:ptCount val="21"/>
                <c:pt idx="0">
                  <c:v>52.416183471679688</c:v>
                </c:pt>
                <c:pt idx="1">
                  <c:v>50.982864379882813</c:v>
                </c:pt>
                <c:pt idx="2">
                  <c:v>51.705371856689453</c:v>
                </c:pt>
                <c:pt idx="3">
                  <c:v>44.91485595703125</c:v>
                </c:pt>
                <c:pt idx="4">
                  <c:v>50.712127685546875</c:v>
                </c:pt>
                <c:pt idx="5">
                  <c:v>47.229736328125</c:v>
                </c:pt>
                <c:pt idx="6">
                  <c:v>50.62890625</c:v>
                </c:pt>
                <c:pt idx="7">
                  <c:v>53.992549896240234</c:v>
                </c:pt>
                <c:pt idx="8">
                  <c:v>56.013290405273438</c:v>
                </c:pt>
                <c:pt idx="9">
                  <c:v>55.472164154052734</c:v>
                </c:pt>
                <c:pt idx="10">
                  <c:v>54.389911651611328</c:v>
                </c:pt>
                <c:pt idx="11">
                  <c:v>54.389911651611328</c:v>
                </c:pt>
              </c:numCache>
            </c:numRef>
          </c:val>
          <c:smooth val="0"/>
          <c:extLst>
            <c:ext xmlns:c16="http://schemas.microsoft.com/office/drawing/2014/chart" uri="{C3380CC4-5D6E-409C-BE32-E72D297353CC}">
              <c16:uniqueId val="{00000000-83AD-384D-B285-0BBCB6B9270F}"/>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T5B5'!$N$23:$N$43</c:f>
              <c:numCache>
                <c:formatCode>General</c:formatCode>
                <c:ptCount val="21"/>
                <c:pt idx="11" formatCode="0.0">
                  <c:v>54.389911651611328</c:v>
                </c:pt>
                <c:pt idx="12" formatCode="0.0">
                  <c:v>54.670372009277344</c:v>
                </c:pt>
                <c:pt idx="13" formatCode="0.0">
                  <c:v>54.952274322509766</c:v>
                </c:pt>
                <c:pt idx="14" formatCode="0.0">
                  <c:v>55.235633850097656</c:v>
                </c:pt>
                <c:pt idx="15" formatCode="0.0">
                  <c:v>55.520454406738281</c:v>
                </c:pt>
                <c:pt idx="16" formatCode="0.0">
                  <c:v>55.806743621826172</c:v>
                </c:pt>
                <c:pt idx="17" formatCode="0.0">
                  <c:v>56.094509124755859</c:v>
                </c:pt>
                <c:pt idx="18" formatCode="0.0">
                  <c:v>56.383758544921875</c:v>
                </c:pt>
                <c:pt idx="19" formatCode="0.0">
                  <c:v>56.67449951171875</c:v>
                </c:pt>
                <c:pt idx="20" formatCode="0.0">
                  <c:v>56.96673583984375</c:v>
                </c:pt>
              </c:numCache>
            </c:numRef>
          </c:val>
          <c:smooth val="0"/>
          <c:extLst>
            <c:ext xmlns:c16="http://schemas.microsoft.com/office/drawing/2014/chart" uri="{C3380CC4-5D6E-409C-BE32-E72D297353CC}">
              <c16:uniqueId val="{00000001-83AD-384D-B285-0BBCB6B9270F}"/>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T5B5'!$N$44:$N$64</c:f>
              <c:numCache>
                <c:formatCode>General</c:formatCode>
                <c:ptCount val="21"/>
                <c:pt idx="11" formatCode="0.0">
                  <c:v>54.389911651611328</c:v>
                </c:pt>
                <c:pt idx="12" formatCode="0.0">
                  <c:v>55.414863586425781</c:v>
                </c:pt>
                <c:pt idx="13" formatCode="0.0">
                  <c:v>56.459129333496094</c:v>
                </c:pt>
                <c:pt idx="14" formatCode="0.0">
                  <c:v>57.523075103759766</c:v>
                </c:pt>
                <c:pt idx="15" formatCode="0.0">
                  <c:v>58.607070922851563</c:v>
                </c:pt>
                <c:pt idx="16" formatCode="0.0">
                  <c:v>59.711494445800781</c:v>
                </c:pt>
                <c:pt idx="17" formatCode="0.0">
                  <c:v>60.836727142333984</c:v>
                </c:pt>
                <c:pt idx="18" formatCode="0.0">
                  <c:v>61.983165740966797</c:v>
                </c:pt>
                <c:pt idx="19" formatCode="0.0">
                  <c:v>63.151210784912109</c:v>
                </c:pt>
                <c:pt idx="20" formatCode="0.0">
                  <c:v>64.341262817382813</c:v>
                </c:pt>
              </c:numCache>
            </c:numRef>
          </c:val>
          <c:smooth val="0"/>
          <c:extLst>
            <c:ext xmlns:c16="http://schemas.microsoft.com/office/drawing/2014/chart" uri="{C3380CC4-5D6E-409C-BE32-E72D297353CC}">
              <c16:uniqueId val="{00000002-83AD-384D-B285-0BBCB6B9270F}"/>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T5B5'!$N$65:$N$85</c:f>
              <c:numCache>
                <c:formatCode>General</c:formatCode>
                <c:ptCount val="21"/>
                <c:pt idx="11" formatCode="0.0">
                  <c:v>54.389911651611328</c:v>
                </c:pt>
                <c:pt idx="12" formatCode="0.0">
                  <c:v>54.1463623046875</c:v>
                </c:pt>
                <c:pt idx="13" formatCode="0.0">
                  <c:v>53.903900146484375</c:v>
                </c:pt>
                <c:pt idx="14" formatCode="0.0">
                  <c:v>53.662528991699219</c:v>
                </c:pt>
                <c:pt idx="15" formatCode="0.0">
                  <c:v>53.422233581542969</c:v>
                </c:pt>
                <c:pt idx="16" formatCode="0.0">
                  <c:v>53.183017730712891</c:v>
                </c:pt>
                <c:pt idx="17" formatCode="0.0">
                  <c:v>52.944869995117188</c:v>
                </c:pt>
                <c:pt idx="18" formatCode="0.0">
                  <c:v>52.707790374755859</c:v>
                </c:pt>
                <c:pt idx="19" formatCode="0.0">
                  <c:v>52.471775054931641</c:v>
                </c:pt>
                <c:pt idx="20" formatCode="0.0">
                  <c:v>52.236812591552734</c:v>
                </c:pt>
              </c:numCache>
            </c:numRef>
          </c:val>
          <c:smooth val="0"/>
          <c:extLst>
            <c:ext xmlns:c16="http://schemas.microsoft.com/office/drawing/2014/chart" uri="{C3380CC4-5D6E-409C-BE32-E72D297353CC}">
              <c16:uniqueId val="{00000003-83AD-384D-B285-0BBCB6B9270F}"/>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a:pPr>
            <a:endParaRPr lang="en-US"/>
          </a:p>
        </c:txPr>
        <c:crossAx val="1"/>
        <c:crosses val="autoZero"/>
        <c:auto val="1"/>
        <c:lblAlgn val="ctr"/>
        <c:lblOffset val="100"/>
        <c:noMultiLvlLbl val="0"/>
      </c:catAx>
      <c:valAx>
        <c:axId val="1"/>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16: Peace, Justice, and Strong Institutions</a:t>
            </a:r>
          </a:p>
          <a:p>
            <a:pPr>
              <a:defRPr sz="1400" b="1"/>
            </a:pPr>
            <a:r>
              <a:rPr lang="en-US" sz="800" b="0">
                <a:solidFill>
                  <a:schemeClr val="tx1">
                    <a:lumMod val="75000"/>
                    <a:lumOff val="25000"/>
                  </a:schemeClr>
                </a:solidFill>
                <a:latin typeface="Roboto" panose="02000000000000000000" pitchFamily="2" charset="0"/>
                <a:ea typeface="Roboto" panose="02000000000000000000" pitchFamily="2" charset="0"/>
              </a:rPr>
              <a:t>Most Vulnerable</a:t>
            </a:r>
            <a:r>
              <a:rPr lang="en-US" sz="800" b="0" baseline="0">
                <a:solidFill>
                  <a:schemeClr val="tx1">
                    <a:lumMod val="75000"/>
                    <a:lumOff val="25000"/>
                  </a:schemeClr>
                </a:solidFill>
                <a:latin typeface="Roboto" panose="02000000000000000000" pitchFamily="2" charset="0"/>
                <a:ea typeface="Roboto" panose="02000000000000000000" pitchFamily="2" charset="0"/>
              </a:rPr>
              <a:t> Groups: Women and Girls, Children, Human Rights Defenders</a:t>
            </a:r>
            <a:endParaRPr lang="en-US" sz="800" b="0">
              <a:solidFill>
                <a:schemeClr val="tx1">
                  <a:lumMod val="75000"/>
                  <a:lumOff val="25000"/>
                </a:schemeClr>
              </a:solidFill>
              <a:latin typeface="Roboto" panose="02000000000000000000" pitchFamily="2" charset="0"/>
              <a:ea typeface="Roboto" panose="02000000000000000000" pitchFamily="2" charset="0"/>
            </a:endParaRP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T5B5'!$S$2:$S$22</c:f>
              <c:numCache>
                <c:formatCode>0.0</c:formatCode>
                <c:ptCount val="21"/>
                <c:pt idx="0">
                  <c:v>62.694747924804688</c:v>
                </c:pt>
                <c:pt idx="1">
                  <c:v>62.694747924804688</c:v>
                </c:pt>
                <c:pt idx="2">
                  <c:v>62.694747924804688</c:v>
                </c:pt>
                <c:pt idx="3">
                  <c:v>63.135665893554688</c:v>
                </c:pt>
                <c:pt idx="4">
                  <c:v>63.532752990722656</c:v>
                </c:pt>
                <c:pt idx="5">
                  <c:v>63.927570343017578</c:v>
                </c:pt>
                <c:pt idx="6">
                  <c:v>62.604820251464844</c:v>
                </c:pt>
                <c:pt idx="7">
                  <c:v>61.864337921142578</c:v>
                </c:pt>
                <c:pt idx="8">
                  <c:v>63.793663024902344</c:v>
                </c:pt>
                <c:pt idx="9">
                  <c:v>65.761962890625</c:v>
                </c:pt>
                <c:pt idx="10">
                  <c:v>67.10858154296875</c:v>
                </c:pt>
                <c:pt idx="11">
                  <c:v>67.10858154296875</c:v>
                </c:pt>
              </c:numCache>
            </c:numRef>
          </c:val>
          <c:smooth val="0"/>
          <c:extLst>
            <c:ext xmlns:c16="http://schemas.microsoft.com/office/drawing/2014/chart" uri="{C3380CC4-5D6E-409C-BE32-E72D297353CC}">
              <c16:uniqueId val="{00000000-B6CB-104B-83B5-E64E537A22E7}"/>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T5B5'!$S$23:$S$43</c:f>
              <c:numCache>
                <c:formatCode>General</c:formatCode>
                <c:ptCount val="21"/>
                <c:pt idx="11" formatCode="0.0">
                  <c:v>67.10858154296875</c:v>
                </c:pt>
                <c:pt idx="12" formatCode="0.0">
                  <c:v>67.358970642089844</c:v>
                </c:pt>
                <c:pt idx="13" formatCode="0.0">
                  <c:v>67.61029052734375</c:v>
                </c:pt>
                <c:pt idx="14" formatCode="0.0">
                  <c:v>67.862548828125</c:v>
                </c:pt>
                <c:pt idx="15" formatCode="0.0">
                  <c:v>68.115753173828125</c:v>
                </c:pt>
                <c:pt idx="16" formatCode="0.0">
                  <c:v>68.369895935058594</c:v>
                </c:pt>
                <c:pt idx="17" formatCode="0.0">
                  <c:v>68.624992370605469</c:v>
                </c:pt>
                <c:pt idx="18" formatCode="0.0">
                  <c:v>68.88104248046875</c:v>
                </c:pt>
                <c:pt idx="19" formatCode="0.0">
                  <c:v>69.138038635253906</c:v>
                </c:pt>
                <c:pt idx="20" formatCode="0.0">
                  <c:v>69.396003723144531</c:v>
                </c:pt>
              </c:numCache>
            </c:numRef>
          </c:val>
          <c:smooth val="0"/>
          <c:extLst>
            <c:ext xmlns:c16="http://schemas.microsoft.com/office/drawing/2014/chart" uri="{C3380CC4-5D6E-409C-BE32-E72D297353CC}">
              <c16:uniqueId val="{00000001-B6CB-104B-83B5-E64E537A22E7}"/>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T5B5'!$S$44:$S$64</c:f>
              <c:numCache>
                <c:formatCode>General</c:formatCode>
                <c:ptCount val="21"/>
                <c:pt idx="11" formatCode="0.0">
                  <c:v>67.10858154296875</c:v>
                </c:pt>
                <c:pt idx="12" formatCode="0.0">
                  <c:v>67.52227783203125</c:v>
                </c:pt>
                <c:pt idx="13" formatCode="0.0">
                  <c:v>67.938529968261719</c:v>
                </c:pt>
                <c:pt idx="14" formatCode="0.0">
                  <c:v>68.357345581054688</c:v>
                </c:pt>
                <c:pt idx="15" formatCode="0.0">
                  <c:v>68.778739929199219</c:v>
                </c:pt>
                <c:pt idx="16" formatCode="0.0">
                  <c:v>69.202735900878906</c:v>
                </c:pt>
                <c:pt idx="17" formatCode="0.0">
                  <c:v>69.629341125488281</c:v>
                </c:pt>
                <c:pt idx="18" formatCode="0.0">
                  <c:v>70.058578491210938</c:v>
                </c:pt>
                <c:pt idx="19" formatCode="0.0">
                  <c:v>70.490463256835938</c:v>
                </c:pt>
                <c:pt idx="20" formatCode="0.0">
                  <c:v>70.925010681152344</c:v>
                </c:pt>
              </c:numCache>
            </c:numRef>
          </c:val>
          <c:smooth val="0"/>
          <c:extLst>
            <c:ext xmlns:c16="http://schemas.microsoft.com/office/drawing/2014/chart" uri="{C3380CC4-5D6E-409C-BE32-E72D297353CC}">
              <c16:uniqueId val="{00000002-B6CB-104B-83B5-E64E537A22E7}"/>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T5B5'!$S$65:$S$85</c:f>
              <c:numCache>
                <c:formatCode>General</c:formatCode>
                <c:ptCount val="21"/>
                <c:pt idx="11" formatCode="0.0">
                  <c:v>67.10858154296875</c:v>
                </c:pt>
                <c:pt idx="12" formatCode="0.0">
                  <c:v>66.904556274414063</c:v>
                </c:pt>
                <c:pt idx="13" formatCode="0.0">
                  <c:v>66.701148986816406</c:v>
                </c:pt>
                <c:pt idx="14" formatCode="0.0">
                  <c:v>66.498367309570313</c:v>
                </c:pt>
                <c:pt idx="15" formatCode="0.0">
                  <c:v>66.296195983886719</c:v>
                </c:pt>
                <c:pt idx="16" formatCode="0.0">
                  <c:v>66.094642639160156</c:v>
                </c:pt>
                <c:pt idx="17" formatCode="0.0">
                  <c:v>65.893699645996094</c:v>
                </c:pt>
                <c:pt idx="18" formatCode="0.0">
                  <c:v>65.693367004394531</c:v>
                </c:pt>
                <c:pt idx="19" formatCode="0.0">
                  <c:v>65.493644714355469</c:v>
                </c:pt>
                <c:pt idx="20" formatCode="0.0">
                  <c:v>65.294532775878906</c:v>
                </c:pt>
              </c:numCache>
            </c:numRef>
          </c:val>
          <c:smooth val="0"/>
          <c:extLst>
            <c:ext xmlns:c16="http://schemas.microsoft.com/office/drawing/2014/chart" uri="{C3380CC4-5D6E-409C-BE32-E72D297353CC}">
              <c16:uniqueId val="{00000003-B6CB-104B-83B5-E64E537A22E7}"/>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17: Partnerships for the Goals</a:t>
            </a:r>
          </a:p>
          <a:p>
            <a:pPr>
              <a:defRPr sz="1400" b="1"/>
            </a:pPr>
            <a:r>
              <a:rPr lang="en-US" sz="800" b="0">
                <a:solidFill>
                  <a:schemeClr val="tx1">
                    <a:lumMod val="75000"/>
                    <a:lumOff val="25000"/>
                  </a:schemeClr>
                </a:solidFill>
                <a:latin typeface="Roboto" panose="02000000000000000000" pitchFamily="2" charset="0"/>
                <a:ea typeface="Roboto" panose="02000000000000000000" pitchFamily="2" charset="0"/>
              </a:rPr>
              <a:t>Most</a:t>
            </a:r>
            <a:r>
              <a:rPr lang="en-US" sz="800" b="0" baseline="0">
                <a:solidFill>
                  <a:schemeClr val="tx1">
                    <a:lumMod val="75000"/>
                    <a:lumOff val="25000"/>
                  </a:schemeClr>
                </a:solidFill>
                <a:latin typeface="Roboto" panose="02000000000000000000" pitchFamily="2" charset="0"/>
                <a:ea typeface="Roboto" panose="02000000000000000000" pitchFamily="2" charset="0"/>
              </a:rPr>
              <a:t> Vulnerable Groups: Women and Girls, Children, Persons with Disabilities</a:t>
            </a:r>
            <a:endParaRPr lang="en-US" sz="800" b="0">
              <a:solidFill>
                <a:schemeClr val="tx1">
                  <a:lumMod val="75000"/>
                  <a:lumOff val="25000"/>
                </a:schemeClr>
              </a:solidFill>
              <a:latin typeface="Roboto" panose="02000000000000000000" pitchFamily="2" charset="0"/>
              <a:ea typeface="Roboto" panose="02000000000000000000" pitchFamily="2" charset="0"/>
            </a:endParaRP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T5B5'!$T$2:$T$22</c:f>
              <c:numCache>
                <c:formatCode>0.0</c:formatCode>
                <c:ptCount val="21"/>
                <c:pt idx="0">
                  <c:v>57.365169525146484</c:v>
                </c:pt>
                <c:pt idx="1">
                  <c:v>57.776382446289063</c:v>
                </c:pt>
                <c:pt idx="2">
                  <c:v>58.234081268310547</c:v>
                </c:pt>
                <c:pt idx="3">
                  <c:v>58.883083343505859</c:v>
                </c:pt>
                <c:pt idx="4">
                  <c:v>59.996936798095703</c:v>
                </c:pt>
                <c:pt idx="5">
                  <c:v>60.669181823730469</c:v>
                </c:pt>
                <c:pt idx="6">
                  <c:v>60.286575317382813</c:v>
                </c:pt>
                <c:pt idx="7">
                  <c:v>63.103809356689453</c:v>
                </c:pt>
                <c:pt idx="8">
                  <c:v>65.312484741210938</c:v>
                </c:pt>
                <c:pt idx="9">
                  <c:v>58.055904388427734</c:v>
                </c:pt>
                <c:pt idx="10">
                  <c:v>58.055904388427734</c:v>
                </c:pt>
                <c:pt idx="11">
                  <c:v>58.055904388427734</c:v>
                </c:pt>
              </c:numCache>
            </c:numRef>
          </c:val>
          <c:smooth val="0"/>
          <c:extLst>
            <c:ext xmlns:c16="http://schemas.microsoft.com/office/drawing/2014/chart" uri="{C3380CC4-5D6E-409C-BE32-E72D297353CC}">
              <c16:uniqueId val="{00000000-C762-994D-BC81-3497CBA6536F}"/>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T5B5'!$T$23:$T$43</c:f>
              <c:numCache>
                <c:formatCode>General</c:formatCode>
                <c:ptCount val="21"/>
                <c:pt idx="11" formatCode="0.0">
                  <c:v>58.055904388427734</c:v>
                </c:pt>
                <c:pt idx="12" formatCode="0.0">
                  <c:v>58.157302856445313</c:v>
                </c:pt>
                <c:pt idx="13" formatCode="0.0">
                  <c:v>58.258876800537109</c:v>
                </c:pt>
                <c:pt idx="14" formatCode="0.0">
                  <c:v>58.360630035400391</c:v>
                </c:pt>
                <c:pt idx="15" formatCode="0.0">
                  <c:v>58.462558746337891</c:v>
                </c:pt>
                <c:pt idx="16" formatCode="0.0">
                  <c:v>58.564666748046875</c:v>
                </c:pt>
                <c:pt idx="17" formatCode="0.0">
                  <c:v>58.666954040527344</c:v>
                </c:pt>
                <c:pt idx="18" formatCode="0.0">
                  <c:v>58.769420623779297</c:v>
                </c:pt>
                <c:pt idx="19" formatCode="0.0">
                  <c:v>58.872062683105469</c:v>
                </c:pt>
                <c:pt idx="20" formatCode="0.0">
                  <c:v>58.974887847900391</c:v>
                </c:pt>
              </c:numCache>
            </c:numRef>
          </c:val>
          <c:smooth val="0"/>
          <c:extLst>
            <c:ext xmlns:c16="http://schemas.microsoft.com/office/drawing/2014/chart" uri="{C3380CC4-5D6E-409C-BE32-E72D297353CC}">
              <c16:uniqueId val="{00000001-C762-994D-BC81-3497CBA6536F}"/>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T5B5'!$T$44:$T$64</c:f>
              <c:numCache>
                <c:formatCode>General</c:formatCode>
                <c:ptCount val="21"/>
                <c:pt idx="11" formatCode="0.0">
                  <c:v>58.055904388427734</c:v>
                </c:pt>
                <c:pt idx="12" formatCode="0.0">
                  <c:v>58.308921813964844</c:v>
                </c:pt>
                <c:pt idx="13" formatCode="0.0">
                  <c:v>58.563041687011719</c:v>
                </c:pt>
                <c:pt idx="14" formatCode="0.0">
                  <c:v>58.818267822265625</c:v>
                </c:pt>
                <c:pt idx="15" formatCode="0.0">
                  <c:v>59.074604034423828</c:v>
                </c:pt>
                <c:pt idx="16" formatCode="0.0">
                  <c:v>59.332061767578125</c:v>
                </c:pt>
                <c:pt idx="17" formatCode="0.0">
                  <c:v>59.590641021728516</c:v>
                </c:pt>
                <c:pt idx="18" formatCode="0.0">
                  <c:v>59.850345611572266</c:v>
                </c:pt>
                <c:pt idx="19" formatCode="0.0">
                  <c:v>60.111183166503906</c:v>
                </c:pt>
                <c:pt idx="20" formatCode="0.0">
                  <c:v>60.373153686523438</c:v>
                </c:pt>
              </c:numCache>
            </c:numRef>
          </c:val>
          <c:smooth val="0"/>
          <c:extLst>
            <c:ext xmlns:c16="http://schemas.microsoft.com/office/drawing/2014/chart" uri="{C3380CC4-5D6E-409C-BE32-E72D297353CC}">
              <c16:uniqueId val="{00000002-C762-994D-BC81-3497CBA6536F}"/>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T5B5'!$T$65:$T$85</c:f>
              <c:numCache>
                <c:formatCode>General</c:formatCode>
                <c:ptCount val="21"/>
                <c:pt idx="11" formatCode="0.0">
                  <c:v>58.055904388427734</c:v>
                </c:pt>
                <c:pt idx="12" formatCode="0.0">
                  <c:v>58.198642730712891</c:v>
                </c:pt>
                <c:pt idx="13" formatCode="0.0">
                  <c:v>58.341732025146484</c:v>
                </c:pt>
                <c:pt idx="14" formatCode="0.0">
                  <c:v>58.485172271728516</c:v>
                </c:pt>
                <c:pt idx="15" formatCode="0.0">
                  <c:v>58.628963470458984</c:v>
                </c:pt>
                <c:pt idx="16" formatCode="0.0">
                  <c:v>58.773109436035156</c:v>
                </c:pt>
                <c:pt idx="17" formatCode="0.0">
                  <c:v>58.917613983154297</c:v>
                </c:pt>
                <c:pt idx="18" formatCode="0.0">
                  <c:v>59.062469482421875</c:v>
                </c:pt>
                <c:pt idx="19" formatCode="0.0">
                  <c:v>59.207679748535156</c:v>
                </c:pt>
                <c:pt idx="20" formatCode="0.0">
                  <c:v>59.353252410888672</c:v>
                </c:pt>
              </c:numCache>
            </c:numRef>
          </c:val>
          <c:smooth val="0"/>
          <c:extLst>
            <c:ext xmlns:c16="http://schemas.microsoft.com/office/drawing/2014/chart" uri="{C3380CC4-5D6E-409C-BE32-E72D297353CC}">
              <c16:uniqueId val="{00000003-C762-994D-BC81-3497CBA6536F}"/>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5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82505832604258"/>
          <c:y val="8.1896551724137928E-2"/>
          <c:w val="0.86457039224263632"/>
          <c:h val="0.74655494986203652"/>
        </c:manualLayout>
      </c:layout>
      <c:barChart>
        <c:barDir val="col"/>
        <c:grouping val="clustered"/>
        <c:varyColors val="0"/>
        <c:ser>
          <c:idx val="0"/>
          <c:order val="0"/>
          <c:tx>
            <c:strRef>
              <c:f>'Tables &amp; Figures'!$D$2</c:f>
              <c:strCache>
                <c:ptCount val="1"/>
                <c:pt idx="0">
                  <c:v>Saudi Arabia's Percentage of the Total Number of SDG Links:</c:v>
                </c:pt>
              </c:strCache>
            </c:strRef>
          </c:tx>
          <c:spPr>
            <a:solidFill>
              <a:srgbClr val="5B92E5"/>
            </a:solidFill>
            <a:ln>
              <a:noFill/>
            </a:ln>
            <a:effectLst/>
          </c:spPr>
          <c:invertIfNegative val="0"/>
          <c:dPt>
            <c:idx val="0"/>
            <c:invertIfNegative val="0"/>
            <c:bubble3D val="0"/>
            <c:spPr>
              <a:solidFill>
                <a:srgbClr val="26BDE2"/>
              </a:solidFill>
              <a:ln>
                <a:noFill/>
              </a:ln>
              <a:effectLst/>
            </c:spPr>
            <c:extLst>
              <c:ext xmlns:c16="http://schemas.microsoft.com/office/drawing/2014/chart" uri="{C3380CC4-5D6E-409C-BE32-E72D297353CC}">
                <c16:uniqueId val="{00000001-86B3-4387-9C21-29C5ABDDF198}"/>
              </c:ext>
            </c:extLst>
          </c:dPt>
          <c:dPt>
            <c:idx val="1"/>
            <c:invertIfNegative val="0"/>
            <c:bubble3D val="0"/>
            <c:spPr>
              <a:solidFill>
                <a:srgbClr val="26BDE2"/>
              </a:solidFill>
              <a:ln>
                <a:noFill/>
              </a:ln>
              <a:effectLst/>
            </c:spPr>
            <c:extLst>
              <c:ext xmlns:c16="http://schemas.microsoft.com/office/drawing/2014/chart" uri="{C3380CC4-5D6E-409C-BE32-E72D297353CC}">
                <c16:uniqueId val="{00000003-86B3-4387-9C21-29C5ABDDF198}"/>
              </c:ext>
            </c:extLst>
          </c:dPt>
          <c:dPt>
            <c:idx val="2"/>
            <c:invertIfNegative val="0"/>
            <c:bubble3D val="0"/>
            <c:spPr>
              <a:solidFill>
                <a:srgbClr val="26BDE2"/>
              </a:solidFill>
              <a:ln>
                <a:noFill/>
              </a:ln>
              <a:effectLst/>
            </c:spPr>
            <c:extLst>
              <c:ext xmlns:c16="http://schemas.microsoft.com/office/drawing/2014/chart" uri="{C3380CC4-5D6E-409C-BE32-E72D297353CC}">
                <c16:uniqueId val="{00000005-86B3-4387-9C21-29C5ABDDF198}"/>
              </c:ext>
            </c:extLst>
          </c:dPt>
          <c:dPt>
            <c:idx val="3"/>
            <c:invertIfNegative val="0"/>
            <c:bubble3D val="0"/>
            <c:spPr>
              <a:solidFill>
                <a:srgbClr val="26BDE2"/>
              </a:solidFill>
              <a:ln>
                <a:noFill/>
              </a:ln>
              <a:effectLst/>
            </c:spPr>
            <c:extLst>
              <c:ext xmlns:c16="http://schemas.microsoft.com/office/drawing/2014/chart" uri="{C3380CC4-5D6E-409C-BE32-E72D297353CC}">
                <c16:uniqueId val="{00000007-86B3-4387-9C21-29C5ABDDF198}"/>
              </c:ext>
            </c:extLst>
          </c:dPt>
          <c:dPt>
            <c:idx val="4"/>
            <c:invertIfNegative val="0"/>
            <c:bubble3D val="0"/>
            <c:spPr>
              <a:solidFill>
                <a:srgbClr val="26BDE2"/>
              </a:solidFill>
              <a:ln>
                <a:noFill/>
              </a:ln>
              <a:effectLst/>
            </c:spPr>
            <c:extLst>
              <c:ext xmlns:c16="http://schemas.microsoft.com/office/drawing/2014/chart" uri="{C3380CC4-5D6E-409C-BE32-E72D297353CC}">
                <c16:uniqueId val="{00000009-86B3-4387-9C21-29C5ABDDF198}"/>
              </c:ext>
            </c:extLst>
          </c:dPt>
          <c:dPt>
            <c:idx val="7"/>
            <c:invertIfNegative val="0"/>
            <c:bubble3D val="0"/>
            <c:spPr>
              <a:solidFill>
                <a:srgbClr val="4C9F38"/>
              </a:solidFill>
              <a:ln>
                <a:noFill/>
              </a:ln>
              <a:effectLst/>
            </c:spPr>
            <c:extLst>
              <c:ext xmlns:c16="http://schemas.microsoft.com/office/drawing/2014/chart" uri="{C3380CC4-5D6E-409C-BE32-E72D297353CC}">
                <c16:uniqueId val="{0000000B-86B3-4387-9C21-29C5ABDDF198}"/>
              </c:ext>
            </c:extLst>
          </c:dPt>
          <c:dPt>
            <c:idx val="8"/>
            <c:invertIfNegative val="0"/>
            <c:bubble3D val="0"/>
            <c:spPr>
              <a:solidFill>
                <a:srgbClr val="4C9F38"/>
              </a:solidFill>
              <a:ln>
                <a:noFill/>
              </a:ln>
              <a:effectLst/>
            </c:spPr>
            <c:extLst>
              <c:ext xmlns:c16="http://schemas.microsoft.com/office/drawing/2014/chart" uri="{C3380CC4-5D6E-409C-BE32-E72D297353CC}">
                <c16:uniqueId val="{0000000D-86B3-4387-9C21-29C5ABDDF198}"/>
              </c:ext>
            </c:extLst>
          </c:dPt>
          <c:dPt>
            <c:idx val="9"/>
            <c:invertIfNegative val="0"/>
            <c:bubble3D val="0"/>
            <c:spPr>
              <a:solidFill>
                <a:srgbClr val="4C9F38"/>
              </a:solidFill>
              <a:ln>
                <a:noFill/>
              </a:ln>
              <a:effectLst/>
            </c:spPr>
            <c:extLst>
              <c:ext xmlns:c16="http://schemas.microsoft.com/office/drawing/2014/chart" uri="{C3380CC4-5D6E-409C-BE32-E72D297353CC}">
                <c16:uniqueId val="{0000000F-86B3-4387-9C21-29C5ABDDF198}"/>
              </c:ext>
            </c:extLst>
          </c:dPt>
          <c:dPt>
            <c:idx val="10"/>
            <c:invertIfNegative val="0"/>
            <c:bubble3D val="0"/>
            <c:spPr>
              <a:solidFill>
                <a:srgbClr val="4C9F38"/>
              </a:solidFill>
              <a:ln>
                <a:noFill/>
              </a:ln>
              <a:effectLst/>
            </c:spPr>
            <c:extLst>
              <c:ext xmlns:c16="http://schemas.microsoft.com/office/drawing/2014/chart" uri="{C3380CC4-5D6E-409C-BE32-E72D297353CC}">
                <c16:uniqueId val="{00000011-86B3-4387-9C21-29C5ABDDF198}"/>
              </c:ext>
            </c:extLst>
          </c:dPt>
          <c:dPt>
            <c:idx val="12"/>
            <c:invertIfNegative val="0"/>
            <c:bubble3D val="0"/>
            <c:spPr>
              <a:solidFill>
                <a:srgbClr val="FF3A21"/>
              </a:solidFill>
              <a:ln>
                <a:noFill/>
              </a:ln>
              <a:effectLst/>
            </c:spPr>
            <c:extLst>
              <c:ext xmlns:c16="http://schemas.microsoft.com/office/drawing/2014/chart" uri="{C3380CC4-5D6E-409C-BE32-E72D297353CC}">
                <c16:uniqueId val="{00000013-86B3-4387-9C21-29C5ABDDF198}"/>
              </c:ext>
            </c:extLst>
          </c:dPt>
          <c:dPt>
            <c:idx val="15"/>
            <c:invertIfNegative val="0"/>
            <c:bubble3D val="0"/>
            <c:spPr>
              <a:solidFill>
                <a:srgbClr val="FCC30B"/>
              </a:solidFill>
              <a:ln>
                <a:noFill/>
              </a:ln>
              <a:effectLst/>
            </c:spPr>
            <c:extLst>
              <c:ext xmlns:c16="http://schemas.microsoft.com/office/drawing/2014/chart" uri="{C3380CC4-5D6E-409C-BE32-E72D297353CC}">
                <c16:uniqueId val="{00000015-86B3-4387-9C21-29C5ABDDF198}"/>
              </c:ext>
            </c:extLst>
          </c:dPt>
          <c:dPt>
            <c:idx val="16"/>
            <c:invertIfNegative val="0"/>
            <c:bubble3D val="0"/>
            <c:spPr>
              <a:solidFill>
                <a:srgbClr val="FCC30B"/>
              </a:solidFill>
              <a:ln>
                <a:noFill/>
              </a:ln>
              <a:effectLst/>
            </c:spPr>
            <c:extLst>
              <c:ext xmlns:c16="http://schemas.microsoft.com/office/drawing/2014/chart" uri="{C3380CC4-5D6E-409C-BE32-E72D297353CC}">
                <c16:uniqueId val="{00000017-86B3-4387-9C21-29C5ABDDF1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&amp; Figures'!$B$3:$B$19</c:f>
              <c:strCache>
                <c:ptCount val="17"/>
                <c:pt idx="0">
                  <c:v>SDG 1</c:v>
                </c:pt>
                <c:pt idx="1">
                  <c:v>SDG 2</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strCache>
            </c:strRef>
          </c:cat>
          <c:val>
            <c:numRef>
              <c:f>'Tables &amp; Figures'!$D$3:$D$19</c:f>
              <c:numCache>
                <c:formatCode>0.0%</c:formatCode>
                <c:ptCount val="17"/>
                <c:pt idx="0">
                  <c:v>2.5735294117647058E-2</c:v>
                </c:pt>
                <c:pt idx="1">
                  <c:v>6.1274509803921568E-3</c:v>
                </c:pt>
                <c:pt idx="2">
                  <c:v>6.7401960784313722E-2</c:v>
                </c:pt>
                <c:pt idx="3">
                  <c:v>9.0686274509803919E-2</c:v>
                </c:pt>
                <c:pt idx="4">
                  <c:v>0.20465686274509803</c:v>
                </c:pt>
                <c:pt idx="5">
                  <c:v>0</c:v>
                </c:pt>
                <c:pt idx="6">
                  <c:v>0</c:v>
                </c:pt>
                <c:pt idx="7">
                  <c:v>0.17279411764705882</c:v>
                </c:pt>
                <c:pt idx="8">
                  <c:v>2.4509803921568627E-3</c:v>
                </c:pt>
                <c:pt idx="9">
                  <c:v>6.8627450980392163E-2</c:v>
                </c:pt>
                <c:pt idx="10">
                  <c:v>1.4705882352941176E-2</c:v>
                </c:pt>
                <c:pt idx="11">
                  <c:v>0</c:v>
                </c:pt>
                <c:pt idx="12">
                  <c:v>4.9019607843137254E-3</c:v>
                </c:pt>
                <c:pt idx="13">
                  <c:v>0</c:v>
                </c:pt>
                <c:pt idx="14">
                  <c:v>0</c:v>
                </c:pt>
                <c:pt idx="15">
                  <c:v>0.34191176470588236</c:v>
                </c:pt>
                <c:pt idx="16">
                  <c:v>5.6372549019607844E-2</c:v>
                </c:pt>
              </c:numCache>
            </c:numRef>
          </c:val>
          <c:extLst>
            <c:ext xmlns:c16="http://schemas.microsoft.com/office/drawing/2014/chart" uri="{C3380CC4-5D6E-409C-BE32-E72D297353CC}">
              <c16:uniqueId val="{00000018-86B3-4387-9C21-29C5ABDDF198}"/>
            </c:ext>
          </c:extLst>
        </c:ser>
        <c:dLbls>
          <c:showLegendKey val="0"/>
          <c:showVal val="0"/>
          <c:showCatName val="0"/>
          <c:showSerName val="0"/>
          <c:showPercent val="0"/>
          <c:showBubbleSize val="0"/>
        </c:dLbls>
        <c:gapWidth val="219"/>
        <c:overlap val="-27"/>
        <c:axId val="776837247"/>
        <c:axId val="776840991"/>
      </c:barChart>
      <c:catAx>
        <c:axId val="77683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776840991"/>
        <c:crosses val="autoZero"/>
        <c:auto val="1"/>
        <c:lblAlgn val="ctr"/>
        <c:lblOffset val="100"/>
        <c:noMultiLvlLbl val="0"/>
      </c:catAx>
      <c:valAx>
        <c:axId val="776840991"/>
        <c:scaling>
          <c:orientation val="minMax"/>
          <c:max val="0.35000000000000003"/>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776837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spcBef>
          <a:spcPts val="600"/>
        </a:spcBef>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 &amp; Figures'!$D$60</c:f>
              <c:strCache>
                <c:ptCount val="1"/>
                <c:pt idx="0">
                  <c:v>Saudi Arabia's Percentage of the Total Recommendations by Group:</c:v>
                </c:pt>
              </c:strCache>
            </c:strRef>
          </c:tx>
          <c:spPr>
            <a:solidFill>
              <a:srgbClr val="5B92E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&amp; Figures'!$B$61:$B$72</c:f>
              <c:strCache>
                <c:ptCount val="12"/>
                <c:pt idx="0">
                  <c:v>Children</c:v>
                </c:pt>
                <c:pt idx="1">
                  <c:v>Human rights defenders</c:v>
                </c:pt>
                <c:pt idx="2">
                  <c:v>Indigenous peoples</c:v>
                </c:pt>
                <c:pt idx="3">
                  <c:v>Internally displaced persons</c:v>
                </c:pt>
                <c:pt idx="4">
                  <c:v>Other groups</c:v>
                </c:pt>
                <c:pt idx="5">
                  <c:v>Members of minorities</c:v>
                </c:pt>
                <c:pt idx="6">
                  <c:v>Migrants</c:v>
                </c:pt>
                <c:pt idx="7">
                  <c:v>Older persons</c:v>
                </c:pt>
                <c:pt idx="8">
                  <c:v>Persons with disabilities</c:v>
                </c:pt>
                <c:pt idx="9">
                  <c:v>Refugees and asylum-seekers</c:v>
                </c:pt>
                <c:pt idx="10">
                  <c:v>Women and girls</c:v>
                </c:pt>
                <c:pt idx="11">
                  <c:v>Youth</c:v>
                </c:pt>
              </c:strCache>
            </c:strRef>
          </c:cat>
          <c:val>
            <c:numRef>
              <c:f>'Tables &amp; Figures'!$D$61:$D$72</c:f>
              <c:numCache>
                <c:formatCode>0.0%</c:formatCode>
                <c:ptCount val="12"/>
                <c:pt idx="0">
                  <c:v>0.25694444444444442</c:v>
                </c:pt>
                <c:pt idx="1">
                  <c:v>4.1666666666666664E-2</c:v>
                </c:pt>
                <c:pt idx="2">
                  <c:v>0</c:v>
                </c:pt>
                <c:pt idx="3">
                  <c:v>2.3148148148148147E-3</c:v>
                </c:pt>
                <c:pt idx="4">
                  <c:v>3.472222222222222E-3</c:v>
                </c:pt>
                <c:pt idx="5">
                  <c:v>9.4907407407407413E-2</c:v>
                </c:pt>
                <c:pt idx="6">
                  <c:v>0.12037037037037036</c:v>
                </c:pt>
                <c:pt idx="7">
                  <c:v>0</c:v>
                </c:pt>
                <c:pt idx="8">
                  <c:v>7.9861111111111105E-2</c:v>
                </c:pt>
                <c:pt idx="9">
                  <c:v>2.4305555555555556E-2</c:v>
                </c:pt>
                <c:pt idx="10">
                  <c:v>0.34722222222222221</c:v>
                </c:pt>
                <c:pt idx="11">
                  <c:v>2.8935185185185185E-2</c:v>
                </c:pt>
              </c:numCache>
            </c:numRef>
          </c:val>
          <c:extLst>
            <c:ext xmlns:c16="http://schemas.microsoft.com/office/drawing/2014/chart" uri="{C3380CC4-5D6E-409C-BE32-E72D297353CC}">
              <c16:uniqueId val="{00000000-17A6-45F7-8958-8A50583DAE4D}"/>
            </c:ext>
          </c:extLst>
        </c:ser>
        <c:dLbls>
          <c:showLegendKey val="0"/>
          <c:showVal val="0"/>
          <c:showCatName val="0"/>
          <c:showSerName val="0"/>
          <c:showPercent val="0"/>
          <c:showBubbleSize val="0"/>
        </c:dLbls>
        <c:gapWidth val="219"/>
        <c:overlap val="-27"/>
        <c:axId val="824853887"/>
        <c:axId val="824855967"/>
      </c:barChart>
      <c:catAx>
        <c:axId val="82485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855967"/>
        <c:crosses val="autoZero"/>
        <c:auto val="1"/>
        <c:lblAlgn val="ctr"/>
        <c:lblOffset val="100"/>
        <c:noMultiLvlLbl val="0"/>
      </c:catAx>
      <c:valAx>
        <c:axId val="824855967"/>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85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75000"/>
                    <a:lumOff val="25000"/>
                  </a:schemeClr>
                </a:solidFill>
                <a:latin typeface="Roboto" panose="02000000000000000000" pitchFamily="2" charset="0"/>
                <a:ea typeface="Roboto" panose="02000000000000000000" pitchFamily="2" charset="0"/>
                <a:cs typeface="+mn-cs"/>
              </a:defRPr>
            </a:pPr>
            <a:r>
              <a:rPr lang="en-US" sz="1100">
                <a:solidFill>
                  <a:schemeClr val="tx1">
                    <a:lumMod val="75000"/>
                    <a:lumOff val="25000"/>
                  </a:schemeClr>
                </a:solidFill>
              </a:rPr>
              <a:t>Funding Status by</a:t>
            </a:r>
            <a:r>
              <a:rPr lang="en-US" sz="1100" baseline="0">
                <a:solidFill>
                  <a:schemeClr val="tx1">
                    <a:lumMod val="75000"/>
                    <a:lumOff val="25000"/>
                  </a:schemeClr>
                </a:solidFill>
              </a:rPr>
              <a:t> </a:t>
            </a:r>
            <a:r>
              <a:rPr lang="en-US" sz="1100">
                <a:solidFill>
                  <a:schemeClr val="tx1">
                    <a:lumMod val="75000"/>
                    <a:lumOff val="25000"/>
                  </a:schemeClr>
                </a:solidFill>
              </a:rPr>
              <a:t>Total Value</a:t>
            </a:r>
            <a:r>
              <a:rPr lang="en-US" sz="1100" baseline="0">
                <a:solidFill>
                  <a:schemeClr val="tx1">
                    <a:lumMod val="75000"/>
                    <a:lumOff val="25000"/>
                  </a:schemeClr>
                </a:solidFill>
              </a:rPr>
              <a:t> (</a:t>
            </a:r>
            <a:r>
              <a:rPr lang="en-US" sz="1100">
                <a:solidFill>
                  <a:schemeClr val="tx1">
                    <a:lumMod val="75000"/>
                    <a:lumOff val="25000"/>
                  </a:schemeClr>
                </a:solidFill>
              </a:rPr>
              <a:t>USD)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rgbClr val="3F7E44"/>
              </a:solidFill>
              <a:ln w="19050">
                <a:solidFill>
                  <a:schemeClr val="lt1"/>
                </a:solidFill>
              </a:ln>
              <a:effectLst/>
            </c:spPr>
            <c:extLst>
              <c:ext xmlns:c16="http://schemas.microsoft.com/office/drawing/2014/chart" uri="{C3380CC4-5D6E-409C-BE32-E72D297353CC}">
                <c16:uniqueId val="{00000001-F547-42A2-B9BB-3FFE500182C9}"/>
              </c:ext>
            </c:extLst>
          </c:dPt>
          <c:dPt>
            <c:idx val="1"/>
            <c:bubble3D val="0"/>
            <c:spPr>
              <a:solidFill>
                <a:srgbClr val="DD1367"/>
              </a:solidFill>
              <a:ln w="19050">
                <a:solidFill>
                  <a:schemeClr val="lt1"/>
                </a:solidFill>
              </a:ln>
              <a:effectLst/>
            </c:spPr>
            <c:extLst>
              <c:ext xmlns:c16="http://schemas.microsoft.com/office/drawing/2014/chart" uri="{C3380CC4-5D6E-409C-BE32-E72D297353CC}">
                <c16:uniqueId val="{00000003-F547-42A2-B9BB-3FFE500182C9}"/>
              </c:ext>
            </c:extLst>
          </c:dPt>
          <c:dPt>
            <c:idx val="2"/>
            <c:bubble3D val="0"/>
            <c:spPr>
              <a:solidFill>
                <a:srgbClr val="DDA63A"/>
              </a:solidFill>
              <a:ln w="19050">
                <a:solidFill>
                  <a:schemeClr val="lt1"/>
                </a:solidFill>
              </a:ln>
              <a:effectLst/>
            </c:spPr>
            <c:extLst>
              <c:ext xmlns:c16="http://schemas.microsoft.com/office/drawing/2014/chart" uri="{C3380CC4-5D6E-409C-BE32-E72D297353CC}">
                <c16:uniqueId val="{00000005-F547-42A2-B9BB-3FFE500182C9}"/>
              </c:ext>
            </c:extLst>
          </c:dPt>
          <c:dLbls>
            <c:dLbl>
              <c:idx val="0"/>
              <c:layout>
                <c:manualLayout>
                  <c:x val="-1.1200893235119712E-2"/>
                  <c:y val="-0.1126102362204724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964912652047525"/>
                      <c:h val="0.37866535433070864"/>
                    </c:manualLayout>
                  </c15:layout>
                </c:ext>
                <c:ext xmlns:c16="http://schemas.microsoft.com/office/drawing/2014/chart" uri="{C3380CC4-5D6E-409C-BE32-E72D297353CC}">
                  <c16:uniqueId val="{00000001-F547-42A2-B9BB-3FFE500182C9}"/>
                </c:ext>
              </c:extLst>
            </c:dLbl>
            <c:dLbl>
              <c:idx val="1"/>
              <c:layout>
                <c:manualLayout>
                  <c:x val="-3.2365838342787799E-2"/>
                  <c:y val="-9.7578740157480415E-2"/>
                </c:manualLayout>
              </c:layout>
              <c:spPr>
                <a:noFill/>
                <a:ln>
                  <a:noFill/>
                </a:ln>
                <a:effectLst/>
              </c:spPr>
              <c:txPr>
                <a:bodyPr rot="0" spcFirstLastPara="1" vertOverflow="ellipsis" vert="horz" wrap="square" anchor="ctr" anchorCtr="0"/>
                <a:lstStyle/>
                <a:p>
                  <a:pPr algn="ct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5752285951787196"/>
                      <c:h val="0.25802848366378106"/>
                    </c:manualLayout>
                  </c15:layout>
                </c:ext>
                <c:ext xmlns:c16="http://schemas.microsoft.com/office/drawing/2014/chart" uri="{C3380CC4-5D6E-409C-BE32-E72D297353CC}">
                  <c16:uniqueId val="{00000003-F547-42A2-B9BB-3FFE500182C9}"/>
                </c:ext>
              </c:extLst>
            </c:dLbl>
            <c:dLbl>
              <c:idx val="2"/>
              <c:layout>
                <c:manualLayout>
                  <c:x val="6.3634006434679535E-2"/>
                  <c:y val="3.1919947506561679E-2"/>
                </c:manualLayout>
              </c:layout>
              <c:spPr>
                <a:noFill/>
                <a:ln>
                  <a:noFill/>
                </a:ln>
                <a:effectLst/>
              </c:spPr>
              <c:txPr>
                <a:bodyPr rot="0" spcFirstLastPara="1" vertOverflow="ellipsis" vert="horz" wrap="square" anchor="ctr" anchorCtr="0"/>
                <a:lstStyle/>
                <a:p>
                  <a:pPr algn="ct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33832091553071991"/>
                      <c:h val="0.20646937882764654"/>
                    </c:manualLayout>
                  </c15:layout>
                </c:ext>
                <c:ext xmlns:c16="http://schemas.microsoft.com/office/drawing/2014/chart" uri="{C3380CC4-5D6E-409C-BE32-E72D297353CC}">
                  <c16:uniqueId val="{00000005-F547-42A2-B9BB-3FFE500182C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Sheet1!$A$17:$A$19</c:f>
              <c:strCache>
                <c:ptCount val="3"/>
                <c:pt idx="0">
                  <c:v>Agreed with the Government</c:v>
                </c:pt>
                <c:pt idx="1">
                  <c:v>In the pipeline</c:v>
                </c:pt>
                <c:pt idx="2">
                  <c:v>New suggestion</c:v>
                </c:pt>
              </c:strCache>
            </c:strRef>
          </c:cat>
          <c:val>
            <c:numRef>
              <c:f>Sheet1!$B$17:$B$19</c:f>
              <c:numCache>
                <c:formatCode>_("$"* #,##0_);_("$"* \(#,##0\);_("$"* "-"??_);_(@_)</c:formatCode>
                <c:ptCount val="3"/>
                <c:pt idx="0">
                  <c:v>166353548</c:v>
                </c:pt>
                <c:pt idx="1">
                  <c:v>93891945</c:v>
                </c:pt>
                <c:pt idx="2">
                  <c:v>85787200</c:v>
                </c:pt>
              </c:numCache>
            </c:numRef>
          </c:val>
          <c:extLst>
            <c:ext xmlns:c16="http://schemas.microsoft.com/office/drawing/2014/chart" uri="{C3380CC4-5D6E-409C-BE32-E72D297353CC}">
              <c16:uniqueId val="{00000006-F547-42A2-B9BB-3FFE500182C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panose="02000000000000000000" pitchFamily="2" charset="0"/>
          <a:ea typeface="Roboto" panose="02000000000000000000" pitchFamily="2"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sz="1100">
                <a:solidFill>
                  <a:schemeClr val="tx1">
                    <a:lumMod val="75000"/>
                    <a:lumOff val="25000"/>
                  </a:schemeClr>
                </a:solidFill>
                <a:latin typeface="Roboto" panose="02000000000000000000" pitchFamily="2" charset="0"/>
                <a:ea typeface="Roboto" panose="02000000000000000000" pitchFamily="2" charset="0"/>
              </a:rPr>
              <a:t>Funding Status</a:t>
            </a:r>
            <a:r>
              <a:rPr lang="en-US" sz="1100" baseline="0">
                <a:solidFill>
                  <a:schemeClr val="tx1">
                    <a:lumMod val="75000"/>
                    <a:lumOff val="25000"/>
                  </a:schemeClr>
                </a:solidFill>
                <a:latin typeface="Roboto" panose="02000000000000000000" pitchFamily="2" charset="0"/>
                <a:ea typeface="Roboto" panose="02000000000000000000" pitchFamily="2" charset="0"/>
              </a:rPr>
              <a:t> by Number of Activies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autoTitleDeleted val="0"/>
    <c:plotArea>
      <c:layout/>
      <c:pieChart>
        <c:varyColors val="1"/>
        <c:ser>
          <c:idx val="0"/>
          <c:order val="0"/>
          <c:dPt>
            <c:idx val="0"/>
            <c:bubble3D val="0"/>
            <c:spPr>
              <a:solidFill>
                <a:srgbClr val="3F7E44"/>
              </a:solidFill>
              <a:ln w="19050">
                <a:solidFill>
                  <a:schemeClr val="lt1"/>
                </a:solidFill>
              </a:ln>
              <a:effectLst/>
            </c:spPr>
            <c:extLst>
              <c:ext xmlns:c16="http://schemas.microsoft.com/office/drawing/2014/chart" uri="{C3380CC4-5D6E-409C-BE32-E72D297353CC}">
                <c16:uniqueId val="{00000001-8EA1-492B-B826-69643318E3E3}"/>
              </c:ext>
            </c:extLst>
          </c:dPt>
          <c:dPt>
            <c:idx val="1"/>
            <c:bubble3D val="0"/>
            <c:spPr>
              <a:solidFill>
                <a:srgbClr val="DD1367"/>
              </a:solidFill>
              <a:ln w="19050">
                <a:solidFill>
                  <a:schemeClr val="lt1"/>
                </a:solidFill>
              </a:ln>
              <a:effectLst/>
            </c:spPr>
            <c:extLst>
              <c:ext xmlns:c16="http://schemas.microsoft.com/office/drawing/2014/chart" uri="{C3380CC4-5D6E-409C-BE32-E72D297353CC}">
                <c16:uniqueId val="{00000003-8EA1-492B-B826-69643318E3E3}"/>
              </c:ext>
            </c:extLst>
          </c:dPt>
          <c:dPt>
            <c:idx val="2"/>
            <c:bubble3D val="0"/>
            <c:spPr>
              <a:solidFill>
                <a:srgbClr val="DDA63A"/>
              </a:solidFill>
              <a:ln w="19050">
                <a:solidFill>
                  <a:schemeClr val="bg1"/>
                </a:solidFill>
              </a:ln>
              <a:effectLst/>
            </c:spPr>
            <c:extLst>
              <c:ext xmlns:c16="http://schemas.microsoft.com/office/drawing/2014/chart" uri="{C3380CC4-5D6E-409C-BE32-E72D297353CC}">
                <c16:uniqueId val="{00000005-8EA1-492B-B826-69643318E3E3}"/>
              </c:ext>
            </c:extLst>
          </c:dPt>
          <c:dLbls>
            <c:dLbl>
              <c:idx val="0"/>
              <c:layout>
                <c:manualLayout>
                  <c:x val="-2.7484266079643188E-2"/>
                  <c:y val="6.167169728783903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9119641294838144"/>
                      <c:h val="0.24111111111111111"/>
                    </c:manualLayout>
                  </c15:layout>
                </c:ext>
                <c:ext xmlns:c16="http://schemas.microsoft.com/office/drawing/2014/chart" uri="{C3380CC4-5D6E-409C-BE32-E72D297353CC}">
                  <c16:uniqueId val="{00000001-8EA1-492B-B826-69643318E3E3}"/>
                </c:ext>
              </c:extLst>
            </c:dLbl>
            <c:dLbl>
              <c:idx val="1"/>
              <c:layout>
                <c:manualLayout>
                  <c:x val="4.7093810854288376E-2"/>
                  <c:y val="-1.701006124234470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6393757231958909"/>
                      <c:h val="0.19888888888888887"/>
                    </c:manualLayout>
                  </c15:layout>
                </c:ext>
                <c:ext xmlns:c16="http://schemas.microsoft.com/office/drawing/2014/chart" uri="{C3380CC4-5D6E-409C-BE32-E72D297353CC}">
                  <c16:uniqueId val="{00000003-8EA1-492B-B826-69643318E3E3}"/>
                </c:ext>
              </c:extLst>
            </c:dLbl>
            <c:dLbl>
              <c:idx val="2"/>
              <c:layout>
                <c:manualLayout>
                  <c:x val="-1.0095461857590391E-2"/>
                  <c:y val="2.587554680664911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30188172043010753"/>
                      <c:h val="0.20999999999999996"/>
                    </c:manualLayout>
                  </c15:layout>
                </c:ext>
                <c:ext xmlns:c16="http://schemas.microsoft.com/office/drawing/2014/chart" uri="{C3380CC4-5D6E-409C-BE32-E72D297353CC}">
                  <c16:uniqueId val="{00000005-8EA1-492B-B826-69643318E3E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Sheet1!$D$17:$D$19</c:f>
              <c:strCache>
                <c:ptCount val="3"/>
                <c:pt idx="0">
                  <c:v>Agreed with the Government</c:v>
                </c:pt>
                <c:pt idx="1">
                  <c:v>In the pipeline</c:v>
                </c:pt>
                <c:pt idx="2">
                  <c:v>New suggestion</c:v>
                </c:pt>
              </c:strCache>
            </c:strRef>
          </c:cat>
          <c:val>
            <c:numRef>
              <c:f>Sheet1!$E$17:$E$19</c:f>
              <c:numCache>
                <c:formatCode>0</c:formatCode>
                <c:ptCount val="3"/>
                <c:pt idx="0">
                  <c:v>65</c:v>
                </c:pt>
                <c:pt idx="1">
                  <c:v>60</c:v>
                </c:pt>
                <c:pt idx="2">
                  <c:v>87</c:v>
                </c:pt>
              </c:numCache>
            </c:numRef>
          </c:val>
          <c:extLst>
            <c:ext xmlns:c16="http://schemas.microsoft.com/office/drawing/2014/chart" uri="{C3380CC4-5D6E-409C-BE32-E72D297353CC}">
              <c16:uniqueId val="{00000006-8EA1-492B-B826-69643318E3E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3: Good Health and Well-Being</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800" b="0" i="0" baseline="0">
                <a:solidFill>
                  <a:schemeClr val="tx1">
                    <a:lumMod val="75000"/>
                    <a:lumOff val="25000"/>
                  </a:schemeClr>
                </a:solidFill>
                <a:effectLst/>
                <a:latin typeface="Roboto" panose="02000000000000000000" pitchFamily="2" charset="0"/>
                <a:ea typeface="Roboto" panose="02000000000000000000" pitchFamily="2" charset="0"/>
              </a:rPr>
              <a:t>Most Vulnerable Groups: Women and Girls, Children, Persons with Disabilities </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T5B5'!$F$2:$F$22</c:f>
              <c:numCache>
                <c:formatCode>0.0</c:formatCode>
                <c:ptCount val="21"/>
                <c:pt idx="0">
                  <c:v>78.142570495605469</c:v>
                </c:pt>
                <c:pt idx="1">
                  <c:v>78.75274658203125</c:v>
                </c:pt>
                <c:pt idx="2">
                  <c:v>78.320030212402344</c:v>
                </c:pt>
                <c:pt idx="3">
                  <c:v>78.797645568847656</c:v>
                </c:pt>
                <c:pt idx="4">
                  <c:v>78.937019348144531</c:v>
                </c:pt>
                <c:pt idx="5">
                  <c:v>80.381874084472656</c:v>
                </c:pt>
                <c:pt idx="6">
                  <c:v>80.299102783203125</c:v>
                </c:pt>
                <c:pt idx="7">
                  <c:v>79.462776184082031</c:v>
                </c:pt>
                <c:pt idx="8">
                  <c:v>79.095191955566406</c:v>
                </c:pt>
                <c:pt idx="9">
                  <c:v>79.544586181640625</c:v>
                </c:pt>
                <c:pt idx="10">
                  <c:v>79.544586181640625</c:v>
                </c:pt>
                <c:pt idx="11">
                  <c:v>79.544586181640625</c:v>
                </c:pt>
              </c:numCache>
            </c:numRef>
          </c:val>
          <c:smooth val="0"/>
          <c:extLst>
            <c:ext xmlns:c16="http://schemas.microsoft.com/office/drawing/2014/chart" uri="{C3380CC4-5D6E-409C-BE32-E72D297353CC}">
              <c16:uniqueId val="{00000000-4C64-0643-A0D7-28D515599759}"/>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T5B5'!$F$23:$F$43</c:f>
              <c:numCache>
                <c:formatCode>General</c:formatCode>
                <c:ptCount val="21"/>
                <c:pt idx="11" formatCode="0.0">
                  <c:v>79.544586181640625</c:v>
                </c:pt>
                <c:pt idx="12" formatCode="0.0">
                  <c:v>79.639434814453125</c:v>
                </c:pt>
                <c:pt idx="13" formatCode="0.0">
                  <c:v>79.734397888183594</c:v>
                </c:pt>
                <c:pt idx="14" formatCode="0.0">
                  <c:v>79.829475402832031</c:v>
                </c:pt>
                <c:pt idx="15" formatCode="0.0">
                  <c:v>79.924659729003906</c:v>
                </c:pt>
                <c:pt idx="16" formatCode="0.0">
                  <c:v>80.019966125488281</c:v>
                </c:pt>
                <c:pt idx="17" formatCode="0.0">
                  <c:v>80.115379333496094</c:v>
                </c:pt>
                <c:pt idx="18" formatCode="0.0">
                  <c:v>80.210914611816406</c:v>
                </c:pt>
                <c:pt idx="19" formatCode="0.0">
                  <c:v>80.306556701660156</c:v>
                </c:pt>
                <c:pt idx="20" formatCode="0.0">
                  <c:v>80.402313232421875</c:v>
                </c:pt>
              </c:numCache>
            </c:numRef>
          </c:val>
          <c:smooth val="0"/>
          <c:extLst>
            <c:ext xmlns:c16="http://schemas.microsoft.com/office/drawing/2014/chart" uri="{C3380CC4-5D6E-409C-BE32-E72D297353CC}">
              <c16:uniqueId val="{00000001-4C64-0643-A0D7-28D515599759}"/>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T5B5'!$F$44:$F$64</c:f>
              <c:numCache>
                <c:formatCode>General</c:formatCode>
                <c:ptCount val="21"/>
                <c:pt idx="11" formatCode="0.0">
                  <c:v>79.544586181640625</c:v>
                </c:pt>
                <c:pt idx="12" formatCode="0.0">
                  <c:v>80.11016845703125</c:v>
                </c:pt>
                <c:pt idx="13" formatCode="0.0">
                  <c:v>80.679779052734375</c:v>
                </c:pt>
                <c:pt idx="14" formatCode="0.0">
                  <c:v>81.253433227539063</c:v>
                </c:pt>
                <c:pt idx="15" formatCode="0.0">
                  <c:v>81.831169128417969</c:v>
                </c:pt>
                <c:pt idx="16" formatCode="0.0">
                  <c:v>82.413009643554688</c:v>
                </c:pt>
                <c:pt idx="17" formatCode="0.0">
                  <c:v>82.998985290527344</c:v>
                </c:pt>
                <c:pt idx="18" formatCode="0.0">
                  <c:v>83.589134216308594</c:v>
                </c:pt>
                <c:pt idx="19" formatCode="0.0">
                  <c:v>84.1834716796875</c:v>
                </c:pt>
                <c:pt idx="20" formatCode="0.0">
                  <c:v>84.78204345703125</c:v>
                </c:pt>
              </c:numCache>
            </c:numRef>
          </c:val>
          <c:smooth val="0"/>
          <c:extLst>
            <c:ext xmlns:c16="http://schemas.microsoft.com/office/drawing/2014/chart" uri="{C3380CC4-5D6E-409C-BE32-E72D297353CC}">
              <c16:uniqueId val="{00000002-4C64-0643-A0D7-28D515599759}"/>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T5B5'!$F$65:$F$85</c:f>
              <c:numCache>
                <c:formatCode>General</c:formatCode>
                <c:ptCount val="21"/>
                <c:pt idx="11" formatCode="0.0">
                  <c:v>79.544586181640625</c:v>
                </c:pt>
                <c:pt idx="12" formatCode="0.0">
                  <c:v>79.4365234375</c:v>
                </c:pt>
                <c:pt idx="13" formatCode="0.0">
                  <c:v>79.328605651855469</c:v>
                </c:pt>
                <c:pt idx="14" formatCode="0.0">
                  <c:v>79.220832824707031</c:v>
                </c:pt>
                <c:pt idx="15" formatCode="0.0">
                  <c:v>79.113212585449219</c:v>
                </c:pt>
                <c:pt idx="16" formatCode="0.0">
                  <c:v>79.0057373046875</c:v>
                </c:pt>
                <c:pt idx="17" formatCode="0.0">
                  <c:v>78.898406982421875</c:v>
                </c:pt>
                <c:pt idx="18" formatCode="0.0">
                  <c:v>78.791221618652344</c:v>
                </c:pt>
                <c:pt idx="19" formatCode="0.0">
                  <c:v>78.684181213378906</c:v>
                </c:pt>
                <c:pt idx="20" formatCode="0.0">
                  <c:v>78.577285766601563</c:v>
                </c:pt>
              </c:numCache>
            </c:numRef>
          </c:val>
          <c:smooth val="0"/>
          <c:extLst>
            <c:ext xmlns:c16="http://schemas.microsoft.com/office/drawing/2014/chart" uri="{C3380CC4-5D6E-409C-BE32-E72D297353CC}">
              <c16:uniqueId val="{00000003-4C64-0643-A0D7-28D515599759}"/>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7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4: Quality Education</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800" b="0" i="0" baseline="0">
                <a:solidFill>
                  <a:schemeClr val="tx1">
                    <a:lumMod val="75000"/>
                    <a:lumOff val="25000"/>
                  </a:schemeClr>
                </a:solidFill>
                <a:effectLst/>
                <a:latin typeface="Roboto" panose="02000000000000000000" pitchFamily="2" charset="0"/>
                <a:ea typeface="Roboto" panose="02000000000000000000" pitchFamily="2" charset="0"/>
              </a:rPr>
              <a:t>Most Vulnerable Groups: Women and Girls, Children, Persons with Disabilities </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T5B5'!$G$2:$G$22</c:f>
              <c:numCache>
                <c:formatCode>0.0</c:formatCode>
                <c:ptCount val="21"/>
                <c:pt idx="0">
                  <c:v>97.218711853027344</c:v>
                </c:pt>
                <c:pt idx="1">
                  <c:v>97.367095947265625</c:v>
                </c:pt>
                <c:pt idx="2">
                  <c:v>99.468643188476563</c:v>
                </c:pt>
                <c:pt idx="3">
                  <c:v>98.011932373046875</c:v>
                </c:pt>
                <c:pt idx="4">
                  <c:v>97.747146606445313</c:v>
                </c:pt>
                <c:pt idx="5">
                  <c:v>99.072540283203125</c:v>
                </c:pt>
                <c:pt idx="6">
                  <c:v>98.243537902832031</c:v>
                </c:pt>
                <c:pt idx="7">
                  <c:v>98.243537902832031</c:v>
                </c:pt>
                <c:pt idx="8">
                  <c:v>98.243537902832031</c:v>
                </c:pt>
                <c:pt idx="9">
                  <c:v>98.243537902832031</c:v>
                </c:pt>
                <c:pt idx="10">
                  <c:v>98.243537902832031</c:v>
                </c:pt>
                <c:pt idx="11">
                  <c:v>98.243537902832031</c:v>
                </c:pt>
              </c:numCache>
            </c:numRef>
          </c:val>
          <c:smooth val="0"/>
          <c:extLst>
            <c:ext xmlns:c16="http://schemas.microsoft.com/office/drawing/2014/chart" uri="{C3380CC4-5D6E-409C-BE32-E72D297353CC}">
              <c16:uniqueId val="{00000000-605F-0F43-81D1-551E121EE708}"/>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T5B5'!$G$23:$G$43</c:f>
              <c:numCache>
                <c:formatCode>General</c:formatCode>
                <c:ptCount val="21"/>
                <c:pt idx="11" formatCode="0.0">
                  <c:v>98.243537902832031</c:v>
                </c:pt>
                <c:pt idx="12" formatCode="0.0">
                  <c:v>98.286148071289063</c:v>
                </c:pt>
                <c:pt idx="13" formatCode="0.0">
                  <c:v>98.328773498535156</c:v>
                </c:pt>
                <c:pt idx="14" formatCode="0.0">
                  <c:v>98.371414184570313</c:v>
                </c:pt>
                <c:pt idx="15" formatCode="0.0">
                  <c:v>98.414077758789063</c:v>
                </c:pt>
                <c:pt idx="16" formatCode="0.0">
                  <c:v>98.456756591796875</c:v>
                </c:pt>
                <c:pt idx="17" formatCode="0.0">
                  <c:v>98.499458312988281</c:v>
                </c:pt>
                <c:pt idx="18" formatCode="0.0">
                  <c:v>98.54217529296875</c:v>
                </c:pt>
                <c:pt idx="19" formatCode="0.0">
                  <c:v>98.584915161132813</c:v>
                </c:pt>
                <c:pt idx="20" formatCode="0.0">
                  <c:v>98.627670288085938</c:v>
                </c:pt>
              </c:numCache>
            </c:numRef>
          </c:val>
          <c:smooth val="0"/>
          <c:extLst>
            <c:ext xmlns:c16="http://schemas.microsoft.com/office/drawing/2014/chart" uri="{C3380CC4-5D6E-409C-BE32-E72D297353CC}">
              <c16:uniqueId val="{00000001-605F-0F43-81D1-551E121EE708}"/>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T5B5'!$G$44:$G$64</c:f>
              <c:numCache>
                <c:formatCode>General</c:formatCode>
                <c:ptCount val="21"/>
                <c:pt idx="11" formatCode="0.0">
                  <c:v>98.243537902832031</c:v>
                </c:pt>
                <c:pt idx="12" formatCode="0.0">
                  <c:v>98.350379943847656</c:v>
                </c:pt>
                <c:pt idx="13" formatCode="0.0">
                  <c:v>98.457344055175781</c:v>
                </c:pt>
                <c:pt idx="14" formatCode="0.0">
                  <c:v>98.564422607421875</c:v>
                </c:pt>
                <c:pt idx="15" formatCode="0.0">
                  <c:v>98.671615600585938</c:v>
                </c:pt>
                <c:pt idx="16" formatCode="0.0">
                  <c:v>98.7789306640625</c:v>
                </c:pt>
                <c:pt idx="17" formatCode="0.0">
                  <c:v>98.8863525390625</c:v>
                </c:pt>
                <c:pt idx="18" formatCode="0.0">
                  <c:v>98.993904113769531</c:v>
                </c:pt>
                <c:pt idx="19" formatCode="0.0">
                  <c:v>99.1015625</c:v>
                </c:pt>
                <c:pt idx="20" formatCode="0.0">
                  <c:v>99.209342956542969</c:v>
                </c:pt>
              </c:numCache>
            </c:numRef>
          </c:val>
          <c:smooth val="0"/>
          <c:extLst>
            <c:ext xmlns:c16="http://schemas.microsoft.com/office/drawing/2014/chart" uri="{C3380CC4-5D6E-409C-BE32-E72D297353CC}">
              <c16:uniqueId val="{00000002-605F-0F43-81D1-551E121EE708}"/>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T5B5'!$G$65:$G$85</c:f>
              <c:numCache>
                <c:formatCode>General</c:formatCode>
                <c:ptCount val="21"/>
                <c:pt idx="11" formatCode="0.0">
                  <c:v>98.243537902832031</c:v>
                </c:pt>
                <c:pt idx="12" formatCode="0.0">
                  <c:v>97.434967041015625</c:v>
                </c:pt>
                <c:pt idx="13" formatCode="0.0">
                  <c:v>96.633049011230469</c:v>
                </c:pt>
                <c:pt idx="14" formatCode="0.0">
                  <c:v>95.837738037109375</c:v>
                </c:pt>
                <c:pt idx="15" formatCode="0.0">
                  <c:v>95.048965454101563</c:v>
                </c:pt>
                <c:pt idx="16" formatCode="0.0">
                  <c:v>94.266685485839844</c:v>
                </c:pt>
                <c:pt idx="17" formatCode="0.0">
                  <c:v>93.4908447265625</c:v>
                </c:pt>
                <c:pt idx="18" formatCode="0.0">
                  <c:v>92.721389770507813</c:v>
                </c:pt>
                <c:pt idx="19" formatCode="0.0">
                  <c:v>91.958267211914063</c:v>
                </c:pt>
                <c:pt idx="20" formatCode="0.0">
                  <c:v>91.201431274414063</c:v>
                </c:pt>
              </c:numCache>
            </c:numRef>
          </c:val>
          <c:smooth val="0"/>
          <c:extLst>
            <c:ext xmlns:c16="http://schemas.microsoft.com/office/drawing/2014/chart" uri="{C3380CC4-5D6E-409C-BE32-E72D297353CC}">
              <c16:uniqueId val="{00000003-605F-0F43-81D1-551E121EE708}"/>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5: Gender Equality</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800" b="0" i="0" baseline="0">
                <a:solidFill>
                  <a:schemeClr val="tx1">
                    <a:lumMod val="75000"/>
                    <a:lumOff val="25000"/>
                  </a:schemeClr>
                </a:solidFill>
                <a:effectLst/>
                <a:latin typeface="Roboto" panose="02000000000000000000" pitchFamily="2" charset="0"/>
                <a:ea typeface="Roboto" panose="02000000000000000000" pitchFamily="2" charset="0"/>
              </a:rPr>
              <a:t>Most Vulnerable Groups: Women and Girls, Children</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T5B5'!$H$2:$H$22</c:f>
              <c:numCache>
                <c:formatCode>0.0</c:formatCode>
                <c:ptCount val="21"/>
                <c:pt idx="0">
                  <c:v>28.366703033447266</c:v>
                </c:pt>
                <c:pt idx="1">
                  <c:v>29.009614944458008</c:v>
                </c:pt>
                <c:pt idx="2">
                  <c:v>29.343297958374023</c:v>
                </c:pt>
                <c:pt idx="3">
                  <c:v>38.784664154052734</c:v>
                </c:pt>
                <c:pt idx="4">
                  <c:v>38.941013336181641</c:v>
                </c:pt>
                <c:pt idx="5">
                  <c:v>39.608707427978516</c:v>
                </c:pt>
                <c:pt idx="6">
                  <c:v>40.166324615478516</c:v>
                </c:pt>
                <c:pt idx="7">
                  <c:v>40.162399291992188</c:v>
                </c:pt>
                <c:pt idx="8">
                  <c:v>40.216419219970703</c:v>
                </c:pt>
                <c:pt idx="9">
                  <c:v>42.282962799072266</c:v>
                </c:pt>
                <c:pt idx="10">
                  <c:v>42.550342559814453</c:v>
                </c:pt>
                <c:pt idx="11">
                  <c:v>42.550342559814453</c:v>
                </c:pt>
              </c:numCache>
            </c:numRef>
          </c:val>
          <c:smooth val="0"/>
          <c:extLst>
            <c:ext xmlns:c16="http://schemas.microsoft.com/office/drawing/2014/chart" uri="{C3380CC4-5D6E-409C-BE32-E72D297353CC}">
              <c16:uniqueId val="{00000000-B47D-0D4D-88B5-6FD877B0C03A}"/>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T5B5'!$H$23:$H$43</c:f>
              <c:numCache>
                <c:formatCode>General</c:formatCode>
                <c:ptCount val="21"/>
                <c:pt idx="11" formatCode="0.0">
                  <c:v>42.550342559814453</c:v>
                </c:pt>
                <c:pt idx="12" formatCode="0.0">
                  <c:v>43.115467071533203</c:v>
                </c:pt>
                <c:pt idx="13" formatCode="0.0">
                  <c:v>43.688095092773438</c:v>
                </c:pt>
                <c:pt idx="14" formatCode="0.0">
                  <c:v>44.268329620361328</c:v>
                </c:pt>
                <c:pt idx="15" formatCode="0.0">
                  <c:v>44.856269836425781</c:v>
                </c:pt>
                <c:pt idx="16" formatCode="0.0">
                  <c:v>45.452018737792969</c:v>
                </c:pt>
                <c:pt idx="17" formatCode="0.0">
                  <c:v>46.055679321289063</c:v>
                </c:pt>
                <c:pt idx="18" formatCode="0.0">
                  <c:v>46.6673583984375</c:v>
                </c:pt>
                <c:pt idx="19" formatCode="0.0">
                  <c:v>47.287158966064453</c:v>
                </c:pt>
                <c:pt idx="20" formatCode="0.0">
                  <c:v>47.915195465087891</c:v>
                </c:pt>
              </c:numCache>
            </c:numRef>
          </c:val>
          <c:smooth val="0"/>
          <c:extLst>
            <c:ext xmlns:c16="http://schemas.microsoft.com/office/drawing/2014/chart" uri="{C3380CC4-5D6E-409C-BE32-E72D297353CC}">
              <c16:uniqueId val="{00000001-B47D-0D4D-88B5-6FD877B0C03A}"/>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T5B5'!$H$44:$H$64</c:f>
              <c:numCache>
                <c:formatCode>General</c:formatCode>
                <c:ptCount val="21"/>
                <c:pt idx="11" formatCode="0.0">
                  <c:v>42.550342559814453</c:v>
                </c:pt>
                <c:pt idx="12" formatCode="0.0">
                  <c:v>43.078578948974609</c:v>
                </c:pt>
                <c:pt idx="13" formatCode="0.0">
                  <c:v>43.613376617431641</c:v>
                </c:pt>
                <c:pt idx="14" formatCode="0.0">
                  <c:v>44.154808044433594</c:v>
                </c:pt>
                <c:pt idx="15" formatCode="0.0">
                  <c:v>44.702964782714844</c:v>
                </c:pt>
                <c:pt idx="16" formatCode="0.0">
                  <c:v>45.257926940917969</c:v>
                </c:pt>
                <c:pt idx="17" formatCode="0.0">
                  <c:v>45.819774627685547</c:v>
                </c:pt>
                <c:pt idx="18" formatCode="0.0">
                  <c:v>46.388599395751953</c:v>
                </c:pt>
                <c:pt idx="19" formatCode="0.0">
                  <c:v>46.964488983154297</c:v>
                </c:pt>
                <c:pt idx="20" formatCode="0.0">
                  <c:v>47.547523498535156</c:v>
                </c:pt>
              </c:numCache>
            </c:numRef>
          </c:val>
          <c:smooth val="0"/>
          <c:extLst>
            <c:ext xmlns:c16="http://schemas.microsoft.com/office/drawing/2014/chart" uri="{C3380CC4-5D6E-409C-BE32-E72D297353CC}">
              <c16:uniqueId val="{00000002-B47D-0D4D-88B5-6FD877B0C03A}"/>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T5B5'!$H$65:$H$85</c:f>
              <c:numCache>
                <c:formatCode>General</c:formatCode>
                <c:ptCount val="21"/>
                <c:pt idx="11" formatCode="0.0">
                  <c:v>42.550342559814453</c:v>
                </c:pt>
                <c:pt idx="12" formatCode="0.0">
                  <c:v>42.579681396484375</c:v>
                </c:pt>
                <c:pt idx="13" formatCode="0.0">
                  <c:v>42.609043121337891</c:v>
                </c:pt>
                <c:pt idx="14" formatCode="0.0">
                  <c:v>42.638423919677734</c:v>
                </c:pt>
                <c:pt idx="15" formatCode="0.0">
                  <c:v>42.667823791503906</c:v>
                </c:pt>
                <c:pt idx="16" formatCode="0.0">
                  <c:v>42.697242736816406</c:v>
                </c:pt>
                <c:pt idx="17" formatCode="0.0">
                  <c:v>42.7266845703125</c:v>
                </c:pt>
                <c:pt idx="18" formatCode="0.0">
                  <c:v>42.756145477294922</c:v>
                </c:pt>
                <c:pt idx="19" formatCode="0.0">
                  <c:v>42.785625457763672</c:v>
                </c:pt>
                <c:pt idx="20" formatCode="0.0">
                  <c:v>42.815128326416016</c:v>
                </c:pt>
              </c:numCache>
            </c:numRef>
          </c:val>
          <c:smooth val="0"/>
          <c:extLst>
            <c:ext xmlns:c16="http://schemas.microsoft.com/office/drawing/2014/chart" uri="{C3380CC4-5D6E-409C-BE32-E72D297353CC}">
              <c16:uniqueId val="{00000003-B47D-0D4D-88B5-6FD877B0C03A}"/>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6: Water and Sanitation</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800" b="0" i="0" baseline="0">
                <a:solidFill>
                  <a:schemeClr val="tx1">
                    <a:lumMod val="75000"/>
                    <a:lumOff val="25000"/>
                  </a:schemeClr>
                </a:solidFill>
                <a:effectLst/>
              </a:rPr>
              <a:t>Most Vulnerable Groups: no direct links from human rights instruments</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T5B5'!$I$2:$I$22</c:f>
              <c:numCache>
                <c:formatCode>0.0</c:formatCode>
                <c:ptCount val="21"/>
                <c:pt idx="0">
                  <c:v>48.18115234375</c:v>
                </c:pt>
                <c:pt idx="1">
                  <c:v>47.437408447265625</c:v>
                </c:pt>
                <c:pt idx="2">
                  <c:v>47.504306793212891</c:v>
                </c:pt>
                <c:pt idx="3">
                  <c:v>47.968292236328125</c:v>
                </c:pt>
                <c:pt idx="4">
                  <c:v>48.050991058349609</c:v>
                </c:pt>
                <c:pt idx="5">
                  <c:v>48.133689880371094</c:v>
                </c:pt>
                <c:pt idx="6">
                  <c:v>48.216384887695313</c:v>
                </c:pt>
                <c:pt idx="7">
                  <c:v>48.282096862792969</c:v>
                </c:pt>
                <c:pt idx="8">
                  <c:v>48.282096862792969</c:v>
                </c:pt>
                <c:pt idx="9">
                  <c:v>48.282096862792969</c:v>
                </c:pt>
                <c:pt idx="10">
                  <c:v>48.282096862792969</c:v>
                </c:pt>
                <c:pt idx="11">
                  <c:v>48.282096862792969</c:v>
                </c:pt>
              </c:numCache>
            </c:numRef>
          </c:val>
          <c:smooth val="0"/>
          <c:extLst>
            <c:ext xmlns:c16="http://schemas.microsoft.com/office/drawing/2014/chart" uri="{C3380CC4-5D6E-409C-BE32-E72D297353CC}">
              <c16:uniqueId val="{00000000-57AE-B644-AE14-F7404EF90411}"/>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T5B5'!$I$23:$I$43</c:f>
              <c:numCache>
                <c:formatCode>General</c:formatCode>
                <c:ptCount val="21"/>
                <c:pt idx="11" formatCode="0.0">
                  <c:v>48.282096862792969</c:v>
                </c:pt>
                <c:pt idx="12" formatCode="0.0">
                  <c:v>48.309955596923828</c:v>
                </c:pt>
                <c:pt idx="13" formatCode="0.0">
                  <c:v>48.33782958984375</c:v>
                </c:pt>
                <c:pt idx="14" formatCode="0.0">
                  <c:v>48.36572265625</c:v>
                </c:pt>
                <c:pt idx="15" formatCode="0.0">
                  <c:v>48.393627166748047</c:v>
                </c:pt>
                <c:pt idx="16" formatCode="0.0">
                  <c:v>48.421550750732422</c:v>
                </c:pt>
                <c:pt idx="17" formatCode="0.0">
                  <c:v>48.449489593505859</c:v>
                </c:pt>
                <c:pt idx="18" formatCode="0.0">
                  <c:v>48.477443695068359</c:v>
                </c:pt>
                <c:pt idx="19" formatCode="0.0">
                  <c:v>48.505416870117188</c:v>
                </c:pt>
                <c:pt idx="20" formatCode="0.0">
                  <c:v>48.533405303955078</c:v>
                </c:pt>
              </c:numCache>
            </c:numRef>
          </c:val>
          <c:smooth val="0"/>
          <c:extLst>
            <c:ext xmlns:c16="http://schemas.microsoft.com/office/drawing/2014/chart" uri="{C3380CC4-5D6E-409C-BE32-E72D297353CC}">
              <c16:uniqueId val="{00000001-57AE-B644-AE14-F7404EF90411}"/>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T5B5'!$I$44:$I$64</c:f>
              <c:numCache>
                <c:formatCode>General</c:formatCode>
                <c:ptCount val="21"/>
                <c:pt idx="11" formatCode="0.0">
                  <c:v>48.282096862792969</c:v>
                </c:pt>
                <c:pt idx="12" formatCode="0.0">
                  <c:v>48.576755523681641</c:v>
                </c:pt>
                <c:pt idx="13" formatCode="0.0">
                  <c:v>48.873214721679688</c:v>
                </c:pt>
                <c:pt idx="14" formatCode="0.0">
                  <c:v>49.171482086181641</c:v>
                </c:pt>
                <c:pt idx="15" formatCode="0.0">
                  <c:v>49.471569061279297</c:v>
                </c:pt>
                <c:pt idx="16" formatCode="0.0">
                  <c:v>49.773487091064453</c:v>
                </c:pt>
                <c:pt idx="17" formatCode="0.0">
                  <c:v>50.077247619628906</c:v>
                </c:pt>
                <c:pt idx="18" formatCode="0.0">
                  <c:v>50.382862091064453</c:v>
                </c:pt>
                <c:pt idx="19" formatCode="0.0">
                  <c:v>50.690341949462891</c:v>
                </c:pt>
                <c:pt idx="20" formatCode="0.0">
                  <c:v>50.999698638916016</c:v>
                </c:pt>
              </c:numCache>
            </c:numRef>
          </c:val>
          <c:smooth val="0"/>
          <c:extLst>
            <c:ext xmlns:c16="http://schemas.microsoft.com/office/drawing/2014/chart" uri="{C3380CC4-5D6E-409C-BE32-E72D297353CC}">
              <c16:uniqueId val="{00000002-57AE-B644-AE14-F7404EF90411}"/>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T5B5'!$I$65:$I$85</c:f>
              <c:numCache>
                <c:formatCode>General</c:formatCode>
                <c:ptCount val="21"/>
                <c:pt idx="11" formatCode="0.0">
                  <c:v>48.282096862792969</c:v>
                </c:pt>
                <c:pt idx="12" formatCode="0.0">
                  <c:v>48.265911102294922</c:v>
                </c:pt>
                <c:pt idx="13" formatCode="0.0">
                  <c:v>48.249729156494141</c:v>
                </c:pt>
                <c:pt idx="14" formatCode="0.0">
                  <c:v>48.233551025390625</c:v>
                </c:pt>
                <c:pt idx="15" formatCode="0.0">
                  <c:v>48.217380523681641</c:v>
                </c:pt>
                <c:pt idx="16" formatCode="0.0">
                  <c:v>48.201213836669922</c:v>
                </c:pt>
                <c:pt idx="17" formatCode="0.0">
                  <c:v>48.185054779052734</c:v>
                </c:pt>
                <c:pt idx="18" formatCode="0.0">
                  <c:v>48.168899536132813</c:v>
                </c:pt>
                <c:pt idx="19" formatCode="0.0">
                  <c:v>48.152751922607422</c:v>
                </c:pt>
                <c:pt idx="20" formatCode="0.0">
                  <c:v>48.136608123779297</c:v>
                </c:pt>
              </c:numCache>
            </c:numRef>
          </c:val>
          <c:smooth val="0"/>
          <c:extLst>
            <c:ext xmlns:c16="http://schemas.microsoft.com/office/drawing/2014/chart" uri="{C3380CC4-5D6E-409C-BE32-E72D297353CC}">
              <c16:uniqueId val="{00000003-57AE-B644-AE14-F7404EF90411}"/>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4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13: Climate Action</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800" b="0" i="0" baseline="0">
                <a:solidFill>
                  <a:schemeClr val="tx1">
                    <a:lumMod val="75000"/>
                    <a:lumOff val="25000"/>
                  </a:schemeClr>
                </a:solidFill>
                <a:effectLst/>
              </a:rPr>
              <a:t>Most Vulnerable Groups: Persons with Disabilities, Refugees and Asylum Seekers</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T5B5'!$P$2:$P$22</c:f>
              <c:numCache>
                <c:formatCode>0.0</c:formatCode>
                <c:ptCount val="21"/>
                <c:pt idx="0">
                  <c:v>53.053604125976563</c:v>
                </c:pt>
                <c:pt idx="1">
                  <c:v>53.803604125976563</c:v>
                </c:pt>
                <c:pt idx="2">
                  <c:v>49.898189544677734</c:v>
                </c:pt>
                <c:pt idx="3">
                  <c:v>52.287353515625</c:v>
                </c:pt>
                <c:pt idx="4">
                  <c:v>50.959022521972656</c:v>
                </c:pt>
                <c:pt idx="5">
                  <c:v>50.457771301269531</c:v>
                </c:pt>
                <c:pt idx="6">
                  <c:v>54.727771759033203</c:v>
                </c:pt>
                <c:pt idx="7">
                  <c:v>54.617771148681641</c:v>
                </c:pt>
                <c:pt idx="8">
                  <c:v>55.269439697265625</c:v>
                </c:pt>
                <c:pt idx="9">
                  <c:v>55.477771759033203</c:v>
                </c:pt>
                <c:pt idx="10">
                  <c:v>55.477771759033203</c:v>
                </c:pt>
                <c:pt idx="11">
                  <c:v>55.477771759033203</c:v>
                </c:pt>
              </c:numCache>
            </c:numRef>
          </c:val>
          <c:smooth val="0"/>
          <c:extLst>
            <c:ext xmlns:c16="http://schemas.microsoft.com/office/drawing/2014/chart" uri="{C3380CC4-5D6E-409C-BE32-E72D297353CC}">
              <c16:uniqueId val="{00000000-B0EA-FC46-9399-8C50F3B203DC}"/>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T5B5'!$P$23:$P$43</c:f>
              <c:numCache>
                <c:formatCode>General</c:formatCode>
                <c:ptCount val="21"/>
                <c:pt idx="11" formatCode="0.0">
                  <c:v>55.477771759033203</c:v>
                </c:pt>
                <c:pt idx="12" formatCode="0.0">
                  <c:v>55.692985534667969</c:v>
                </c:pt>
                <c:pt idx="13" formatCode="0.0">
                  <c:v>55.909034729003906</c:v>
                </c:pt>
                <c:pt idx="14" formatCode="0.0">
                  <c:v>56.125919342041016</c:v>
                </c:pt>
                <c:pt idx="15" formatCode="0.0">
                  <c:v>56.343647003173828</c:v>
                </c:pt>
                <c:pt idx="16" formatCode="0.0">
                  <c:v>56.562217712402344</c:v>
                </c:pt>
                <c:pt idx="17" formatCode="0.0">
                  <c:v>56.781639099121094</c:v>
                </c:pt>
                <c:pt idx="18" formatCode="0.0">
                  <c:v>57.001911163330078</c:v>
                </c:pt>
                <c:pt idx="19" formatCode="0.0">
                  <c:v>57.223037719726563</c:v>
                </c:pt>
                <c:pt idx="20" formatCode="0.0">
                  <c:v>57.445018768310547</c:v>
                </c:pt>
              </c:numCache>
            </c:numRef>
          </c:val>
          <c:smooth val="0"/>
          <c:extLst>
            <c:ext xmlns:c16="http://schemas.microsoft.com/office/drawing/2014/chart" uri="{C3380CC4-5D6E-409C-BE32-E72D297353CC}">
              <c16:uniqueId val="{00000001-B0EA-FC46-9399-8C50F3B203DC}"/>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T5B5'!$P$44:$P$64</c:f>
              <c:numCache>
                <c:formatCode>General</c:formatCode>
                <c:ptCount val="21"/>
                <c:pt idx="11" formatCode="0.0">
                  <c:v>55.477771759033203</c:v>
                </c:pt>
                <c:pt idx="12" formatCode="0.0">
                  <c:v>55.786338806152344</c:v>
                </c:pt>
                <c:pt idx="13" formatCode="0.0">
                  <c:v>56.096622467041016</c:v>
                </c:pt>
                <c:pt idx="14" formatCode="0.0">
                  <c:v>56.40863037109375</c:v>
                </c:pt>
                <c:pt idx="15" formatCode="0.0">
                  <c:v>56.722377777099609</c:v>
                </c:pt>
                <c:pt idx="16" formatCode="0.0">
                  <c:v>57.037864685058594</c:v>
                </c:pt>
                <c:pt idx="17" formatCode="0.0">
                  <c:v>57.355110168457031</c:v>
                </c:pt>
                <c:pt idx="18" formatCode="0.0">
                  <c:v>57.674121856689453</c:v>
                </c:pt>
                <c:pt idx="19" formatCode="0.0">
                  <c:v>57.994903564453125</c:v>
                </c:pt>
                <c:pt idx="20" formatCode="0.0">
                  <c:v>58.317470550537109</c:v>
                </c:pt>
              </c:numCache>
            </c:numRef>
          </c:val>
          <c:smooth val="0"/>
          <c:extLst>
            <c:ext xmlns:c16="http://schemas.microsoft.com/office/drawing/2014/chart" uri="{C3380CC4-5D6E-409C-BE32-E72D297353CC}">
              <c16:uniqueId val="{00000002-B0EA-FC46-9399-8C50F3B203DC}"/>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T5B5'!$P$65:$P$85</c:f>
              <c:numCache>
                <c:formatCode>General</c:formatCode>
                <c:ptCount val="21"/>
                <c:pt idx="11" formatCode="0.0">
                  <c:v>55.477771759033203</c:v>
                </c:pt>
                <c:pt idx="12" formatCode="0.0">
                  <c:v>55.397933959960938</c:v>
                </c:pt>
                <c:pt idx="13" formatCode="0.0">
                  <c:v>55.318206787109375</c:v>
                </c:pt>
                <c:pt idx="14" formatCode="0.0">
                  <c:v>55.238597869873047</c:v>
                </c:pt>
                <c:pt idx="15" formatCode="0.0">
                  <c:v>55.159103393554688</c:v>
                </c:pt>
                <c:pt idx="16" formatCode="0.0">
                  <c:v>55.079723358154297</c:v>
                </c:pt>
                <c:pt idx="17" formatCode="0.0">
                  <c:v>55.000453948974609</c:v>
                </c:pt>
                <c:pt idx="18" formatCode="0.0">
                  <c:v>54.921302795410156</c:v>
                </c:pt>
                <c:pt idx="19" formatCode="0.0">
                  <c:v>54.842262268066406</c:v>
                </c:pt>
                <c:pt idx="20" formatCode="0.0">
                  <c:v>54.763339996337891</c:v>
                </c:pt>
              </c:numCache>
            </c:numRef>
          </c:val>
          <c:smooth val="0"/>
          <c:extLst>
            <c:ext xmlns:c16="http://schemas.microsoft.com/office/drawing/2014/chart" uri="{C3380CC4-5D6E-409C-BE32-E72D297353CC}">
              <c16:uniqueId val="{00000003-B0EA-FC46-9399-8C50F3B203DC}"/>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4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Raanana" pitchFamily="2" charset="-79"/>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Roboto" panose="02000000000000000000" pitchFamily="2" charset="0"/>
                <a:ea typeface="Roboto" panose="02000000000000000000" pitchFamily="2" charset="0"/>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14: Life Below Water</a:t>
            </a:r>
          </a:p>
          <a:p>
            <a:pPr>
              <a:defRPr sz="1400" b="1">
                <a:latin typeface="Roboto" panose="02000000000000000000" pitchFamily="2" charset="0"/>
                <a:ea typeface="Roboto" panose="02000000000000000000" pitchFamily="2" charset="0"/>
              </a:defRPr>
            </a:pPr>
            <a:r>
              <a:rPr lang="en-US" sz="800" b="0" i="0" u="none" strike="noStrike" baseline="0">
                <a:solidFill>
                  <a:schemeClr val="tx1">
                    <a:lumMod val="75000"/>
                    <a:lumOff val="25000"/>
                  </a:schemeClr>
                </a:solidFill>
                <a:effectLst/>
              </a:rPr>
              <a:t>Most Vulnerable Groups: no direct links from human rights instruments</a:t>
            </a:r>
            <a:r>
              <a:rPr lang="en-US" sz="800" b="0" i="0" u="none" strike="noStrike" baseline="0">
                <a:solidFill>
                  <a:schemeClr val="tx1">
                    <a:lumMod val="75000"/>
                    <a:lumOff val="25000"/>
                  </a:schemeClr>
                </a:solidFill>
              </a:rPr>
              <a:t> </a:t>
            </a:r>
            <a:endParaRPr lang="en-US" sz="800" b="0">
              <a:solidFill>
                <a:schemeClr val="tx1">
                  <a:lumMod val="75000"/>
                  <a:lumOff val="25000"/>
                </a:schemeClr>
              </a:solidFill>
              <a:latin typeface="Roboto" panose="02000000000000000000" pitchFamily="2" charset="0"/>
              <a:ea typeface="Roboto" panose="02000000000000000000" pitchFamily="2" charset="0"/>
            </a:endParaRP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T5B5'!$Q$2:$Q$22</c:f>
              <c:numCache>
                <c:formatCode>0.0</c:formatCode>
                <c:ptCount val="21"/>
                <c:pt idx="0">
                  <c:v>64.405143737792969</c:v>
                </c:pt>
                <c:pt idx="1">
                  <c:v>65.680473327636719</c:v>
                </c:pt>
                <c:pt idx="2">
                  <c:v>66.370040893554688</c:v>
                </c:pt>
                <c:pt idx="3">
                  <c:v>65.911903381347656</c:v>
                </c:pt>
                <c:pt idx="4">
                  <c:v>63.999908447265625</c:v>
                </c:pt>
                <c:pt idx="5">
                  <c:v>62.229320526123047</c:v>
                </c:pt>
                <c:pt idx="6">
                  <c:v>62.218399047851563</c:v>
                </c:pt>
                <c:pt idx="7">
                  <c:v>62.213432312011719</c:v>
                </c:pt>
                <c:pt idx="8">
                  <c:v>62.258140563964844</c:v>
                </c:pt>
                <c:pt idx="9">
                  <c:v>62.258140563964844</c:v>
                </c:pt>
                <c:pt idx="10">
                  <c:v>62.270561218261719</c:v>
                </c:pt>
                <c:pt idx="11">
                  <c:v>62.270561218261719</c:v>
                </c:pt>
              </c:numCache>
            </c:numRef>
          </c:val>
          <c:smooth val="0"/>
          <c:extLst>
            <c:ext xmlns:c16="http://schemas.microsoft.com/office/drawing/2014/chart" uri="{C3380CC4-5D6E-409C-BE32-E72D297353CC}">
              <c16:uniqueId val="{00000000-19DE-9849-AEB9-99DD6A260375}"/>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T5B5'!$Q$23:$Q$43</c:f>
              <c:numCache>
                <c:formatCode>General</c:formatCode>
                <c:ptCount val="21"/>
                <c:pt idx="11" formatCode="0.0">
                  <c:v>62.270561218261719</c:v>
                </c:pt>
                <c:pt idx="12" formatCode="0.0">
                  <c:v>62.038478851318359</c:v>
                </c:pt>
                <c:pt idx="13" formatCode="0.0">
                  <c:v>61.807262420654297</c:v>
                </c:pt>
                <c:pt idx="14" formatCode="0.0">
                  <c:v>61.576908111572266</c:v>
                </c:pt>
                <c:pt idx="15" formatCode="0.0">
                  <c:v>61.347408294677734</c:v>
                </c:pt>
                <c:pt idx="16" formatCode="0.0">
                  <c:v>61.118766784667969</c:v>
                </c:pt>
                <c:pt idx="17" formatCode="0.0">
                  <c:v>60.890979766845703</c:v>
                </c:pt>
                <c:pt idx="18" formatCode="0.0">
                  <c:v>60.664039611816406</c:v>
                </c:pt>
                <c:pt idx="19" formatCode="0.0">
                  <c:v>60.437942504882813</c:v>
                </c:pt>
                <c:pt idx="20" formatCode="0.0">
                  <c:v>60.212692260742188</c:v>
                </c:pt>
              </c:numCache>
            </c:numRef>
          </c:val>
          <c:smooth val="0"/>
          <c:extLst>
            <c:ext xmlns:c16="http://schemas.microsoft.com/office/drawing/2014/chart" uri="{C3380CC4-5D6E-409C-BE32-E72D297353CC}">
              <c16:uniqueId val="{00000001-19DE-9849-AEB9-99DD6A260375}"/>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T5B5'!$Q$44:$Q$64</c:f>
              <c:numCache>
                <c:formatCode>General</c:formatCode>
                <c:ptCount val="21"/>
                <c:pt idx="11" formatCode="0.0">
                  <c:v>62.270561218261719</c:v>
                </c:pt>
                <c:pt idx="12" formatCode="0.0">
                  <c:v>62.712047576904297</c:v>
                </c:pt>
                <c:pt idx="13" formatCode="0.0">
                  <c:v>63.156661987304688</c:v>
                </c:pt>
                <c:pt idx="14" formatCode="0.0">
                  <c:v>63.60443115234375</c:v>
                </c:pt>
                <c:pt idx="15" formatCode="0.0">
                  <c:v>64.055374145507813</c:v>
                </c:pt>
                <c:pt idx="16" formatCode="0.0">
                  <c:v>64.509513854980469</c:v>
                </c:pt>
                <c:pt idx="17" formatCode="0.0">
                  <c:v>64.966873168945313</c:v>
                </c:pt>
                <c:pt idx="18" formatCode="0.0">
                  <c:v>65.427474975585938</c:v>
                </c:pt>
                <c:pt idx="19" formatCode="0.0">
                  <c:v>65.891342163085938</c:v>
                </c:pt>
                <c:pt idx="20" formatCode="0.0">
                  <c:v>66.358505249023438</c:v>
                </c:pt>
              </c:numCache>
            </c:numRef>
          </c:val>
          <c:smooth val="0"/>
          <c:extLst>
            <c:ext xmlns:c16="http://schemas.microsoft.com/office/drawing/2014/chart" uri="{C3380CC4-5D6E-409C-BE32-E72D297353CC}">
              <c16:uniqueId val="{00000002-19DE-9849-AEB9-99DD6A260375}"/>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T5B5'!$Q$65:$Q$85</c:f>
              <c:numCache>
                <c:formatCode>General</c:formatCode>
                <c:ptCount val="21"/>
                <c:pt idx="11" formatCode="0.0">
                  <c:v>62.270561218261719</c:v>
                </c:pt>
                <c:pt idx="12" formatCode="0.0">
                  <c:v>61.949558258056641</c:v>
                </c:pt>
                <c:pt idx="13" formatCode="0.0">
                  <c:v>61.630207061767578</c:v>
                </c:pt>
                <c:pt idx="14" formatCode="0.0">
                  <c:v>61.312507629394531</c:v>
                </c:pt>
                <c:pt idx="15" formatCode="0.0">
                  <c:v>60.996440887451172</c:v>
                </c:pt>
                <c:pt idx="16" formatCode="0.0">
                  <c:v>60.6820068359375</c:v>
                </c:pt>
                <c:pt idx="17" formatCode="0.0">
                  <c:v>60.369190216064453</c:v>
                </c:pt>
                <c:pt idx="18" formatCode="0.0">
                  <c:v>60.057987213134766</c:v>
                </c:pt>
                <c:pt idx="19" formatCode="0.0">
                  <c:v>59.748390197753906</c:v>
                </c:pt>
                <c:pt idx="20" formatCode="0.0">
                  <c:v>59.440387725830078</c:v>
                </c:pt>
              </c:numCache>
            </c:numRef>
          </c:val>
          <c:smooth val="0"/>
          <c:extLst>
            <c:ext xmlns:c16="http://schemas.microsoft.com/office/drawing/2014/chart" uri="{C3380CC4-5D6E-409C-BE32-E72D297353CC}">
              <c16:uniqueId val="{00000003-19DE-9849-AEB9-99DD6A260375}"/>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5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15: Life on Land</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800" b="0" i="0" baseline="0">
                <a:solidFill>
                  <a:schemeClr val="tx1">
                    <a:lumMod val="75000"/>
                    <a:lumOff val="25000"/>
                  </a:schemeClr>
                </a:solidFill>
                <a:effectLst/>
              </a:rPr>
              <a:t>Most Vulnerable Groups: no direct links from human rights instruments </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T5B5'!$R$2:$R$22</c:f>
              <c:numCache>
                <c:formatCode>0.0</c:formatCode>
                <c:ptCount val="21"/>
                <c:pt idx="0">
                  <c:v>51.128273010253906</c:v>
                </c:pt>
                <c:pt idx="1">
                  <c:v>51.001049041748047</c:v>
                </c:pt>
                <c:pt idx="2">
                  <c:v>50.810207366943359</c:v>
                </c:pt>
                <c:pt idx="3">
                  <c:v>50.746593475341797</c:v>
                </c:pt>
                <c:pt idx="4">
                  <c:v>50.555755615234375</c:v>
                </c:pt>
                <c:pt idx="5">
                  <c:v>50.364913940429688</c:v>
                </c:pt>
                <c:pt idx="6">
                  <c:v>50.237689971923828</c:v>
                </c:pt>
                <c:pt idx="7">
                  <c:v>50.110462188720703</c:v>
                </c:pt>
                <c:pt idx="8">
                  <c:v>49.983234405517578</c:v>
                </c:pt>
                <c:pt idx="9">
                  <c:v>49.919620513916016</c:v>
                </c:pt>
                <c:pt idx="10">
                  <c:v>49.728782653808594</c:v>
                </c:pt>
                <c:pt idx="11">
                  <c:v>49.728782653808594</c:v>
                </c:pt>
              </c:numCache>
            </c:numRef>
          </c:val>
          <c:smooth val="0"/>
          <c:extLst>
            <c:ext xmlns:c16="http://schemas.microsoft.com/office/drawing/2014/chart" uri="{C3380CC4-5D6E-409C-BE32-E72D297353CC}">
              <c16:uniqueId val="{00000000-EDD5-F043-9461-4BE5F601C42D}"/>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T5B5'!$R$23:$R$43</c:f>
              <c:numCache>
                <c:formatCode>General</c:formatCode>
                <c:ptCount val="21"/>
                <c:pt idx="11" formatCode="0.0">
                  <c:v>49.728782653808594</c:v>
                </c:pt>
                <c:pt idx="12" formatCode="0.0">
                  <c:v>49.662086486816406</c:v>
                </c:pt>
                <c:pt idx="13" formatCode="0.0">
                  <c:v>49.595478057861328</c:v>
                </c:pt>
                <c:pt idx="14" formatCode="0.0">
                  <c:v>49.528961181640625</c:v>
                </c:pt>
                <c:pt idx="15" formatCode="0.0">
                  <c:v>49.462532043457031</c:v>
                </c:pt>
                <c:pt idx="16" formatCode="0.0">
                  <c:v>49.396190643310547</c:v>
                </c:pt>
                <c:pt idx="17" formatCode="0.0">
                  <c:v>49.329940795898438</c:v>
                </c:pt>
                <c:pt idx="18" formatCode="0.0">
                  <c:v>49.263778686523438</c:v>
                </c:pt>
                <c:pt idx="19" formatCode="0.0">
                  <c:v>49.197704315185547</c:v>
                </c:pt>
                <c:pt idx="20" formatCode="0.0">
                  <c:v>49.131717681884766</c:v>
                </c:pt>
              </c:numCache>
            </c:numRef>
          </c:val>
          <c:smooth val="0"/>
          <c:extLst>
            <c:ext xmlns:c16="http://schemas.microsoft.com/office/drawing/2014/chart" uri="{C3380CC4-5D6E-409C-BE32-E72D297353CC}">
              <c16:uniqueId val="{00000001-EDD5-F043-9461-4BE5F601C42D}"/>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T5B5'!$R$44:$R$64</c:f>
              <c:numCache>
                <c:formatCode>General</c:formatCode>
                <c:ptCount val="21"/>
                <c:pt idx="11" formatCode="0.0">
                  <c:v>49.728782653808594</c:v>
                </c:pt>
                <c:pt idx="12" formatCode="0.0">
                  <c:v>50.076423645019531</c:v>
                </c:pt>
                <c:pt idx="13" formatCode="0.0">
                  <c:v>50.426498413085938</c:v>
                </c:pt>
                <c:pt idx="14" formatCode="0.0">
                  <c:v>50.779014587402344</c:v>
                </c:pt>
                <c:pt idx="15" formatCode="0.0">
                  <c:v>51.133998870849609</c:v>
                </c:pt>
                <c:pt idx="16" formatCode="0.0">
                  <c:v>51.491466522216797</c:v>
                </c:pt>
                <c:pt idx="17" formatCode="0.0">
                  <c:v>51.851428985595703</c:v>
                </c:pt>
                <c:pt idx="18" formatCode="0.0">
                  <c:v>52.213909149169922</c:v>
                </c:pt>
                <c:pt idx="19" formatCode="0.0">
                  <c:v>52.578926086425781</c:v>
                </c:pt>
                <c:pt idx="20" formatCode="0.0">
                  <c:v>52.946491241455078</c:v>
                </c:pt>
              </c:numCache>
            </c:numRef>
          </c:val>
          <c:smooth val="0"/>
          <c:extLst>
            <c:ext xmlns:c16="http://schemas.microsoft.com/office/drawing/2014/chart" uri="{C3380CC4-5D6E-409C-BE32-E72D297353CC}">
              <c16:uniqueId val="{00000002-EDD5-F043-9461-4BE5F601C42D}"/>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T5B5'!$R$65:$R$85</c:f>
              <c:numCache>
                <c:formatCode>General</c:formatCode>
                <c:ptCount val="21"/>
                <c:pt idx="11" formatCode="0.0">
                  <c:v>49.728782653808594</c:v>
                </c:pt>
                <c:pt idx="12" formatCode="0.0">
                  <c:v>49.637378692626953</c:v>
                </c:pt>
                <c:pt idx="13" formatCode="0.0">
                  <c:v>49.546142578125</c:v>
                </c:pt>
                <c:pt idx="14" formatCode="0.0">
                  <c:v>49.455074310302734</c:v>
                </c:pt>
                <c:pt idx="15" formatCode="0.0">
                  <c:v>49.364173889160156</c:v>
                </c:pt>
                <c:pt idx="16" formatCode="0.0">
                  <c:v>49.273441314697266</c:v>
                </c:pt>
                <c:pt idx="17" formatCode="0.0">
                  <c:v>49.182876586914063</c:v>
                </c:pt>
                <c:pt idx="18" formatCode="0.0">
                  <c:v>49.092475891113281</c:v>
                </c:pt>
                <c:pt idx="19" formatCode="0.0">
                  <c:v>49.002239227294922</c:v>
                </c:pt>
                <c:pt idx="20" formatCode="0.0">
                  <c:v>48.91217041015625</c:v>
                </c:pt>
              </c:numCache>
            </c:numRef>
          </c:val>
          <c:smooth val="0"/>
          <c:extLst>
            <c:ext xmlns:c16="http://schemas.microsoft.com/office/drawing/2014/chart" uri="{C3380CC4-5D6E-409C-BE32-E72D297353CC}">
              <c16:uniqueId val="{00000003-EDD5-F043-9461-4BE5F601C42D}"/>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4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950" b="1" i="0" u="none" strike="noStrike" baseline="0">
                <a:solidFill>
                  <a:schemeClr val="tx1">
                    <a:lumMod val="75000"/>
                    <a:lumOff val="25000"/>
                  </a:schemeClr>
                </a:solidFill>
                <a:effectLst/>
                <a:latin typeface="Roboto" panose="02000000000000000000" pitchFamily="2" charset="0"/>
                <a:ea typeface="Roboto" panose="02000000000000000000" pitchFamily="2" charset="0"/>
              </a:rPr>
              <a:t>SDG 7: Affordable and Clean Energy</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Roboto" panose="02000000000000000000" pitchFamily="2" charset="0"/>
                <a:ea typeface="Roboto" panose="02000000000000000000" pitchFamily="2" charset="0"/>
                <a:cs typeface="+mn-cs"/>
              </a:defRPr>
            </a:pPr>
            <a:r>
              <a:rPr lang="en-US" sz="800" b="0" i="0" baseline="0">
                <a:solidFill>
                  <a:schemeClr val="tx1">
                    <a:lumMod val="75000"/>
                    <a:lumOff val="25000"/>
                  </a:schemeClr>
                </a:solidFill>
                <a:effectLst/>
              </a:rPr>
              <a:t>Most Vulnerable Groups: no direct links from human rights instruments </a:t>
            </a:r>
          </a:p>
        </c:rich>
      </c:tx>
      <c:overlay val="0"/>
    </c:title>
    <c:autoTitleDeleted val="0"/>
    <c:plotArea>
      <c:layout/>
      <c:lineChart>
        <c:grouping val="standard"/>
        <c:varyColors val="0"/>
        <c:ser>
          <c:idx val="0"/>
          <c:order val="0"/>
          <c:tx>
            <c:strRef>
              <c:f>'Forecast NN XX -- T5B5'!$A$2</c:f>
              <c:strCache>
                <c:ptCount val="1"/>
                <c:pt idx="0">
                  <c:v>SAU</c:v>
                </c:pt>
              </c:strCache>
            </c:strRef>
          </c:tx>
          <c:spPr>
            <a:ln w="28575" cap="rnd">
              <a:solidFill>
                <a:srgbClr val="006C35"/>
              </a:solidFill>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T5B5'!$J$2:$J$22</c:f>
              <c:numCache>
                <c:formatCode>0.0</c:formatCode>
                <c:ptCount val="21"/>
                <c:pt idx="0">
                  <c:v>88.420150756835938</c:v>
                </c:pt>
                <c:pt idx="1">
                  <c:v>88.462310791015625</c:v>
                </c:pt>
                <c:pt idx="2">
                  <c:v>89.26397705078125</c:v>
                </c:pt>
                <c:pt idx="3">
                  <c:v>89.527839660644531</c:v>
                </c:pt>
                <c:pt idx="4">
                  <c:v>89.837379455566406</c:v>
                </c:pt>
                <c:pt idx="5">
                  <c:v>89.99725341796875</c:v>
                </c:pt>
                <c:pt idx="6">
                  <c:v>90.224441528320313</c:v>
                </c:pt>
                <c:pt idx="7">
                  <c:v>90.657958984375</c:v>
                </c:pt>
                <c:pt idx="8">
                  <c:v>91.08331298828125</c:v>
                </c:pt>
                <c:pt idx="9">
                  <c:v>91.08331298828125</c:v>
                </c:pt>
                <c:pt idx="10">
                  <c:v>91.08331298828125</c:v>
                </c:pt>
                <c:pt idx="11">
                  <c:v>91.08331298828125</c:v>
                </c:pt>
              </c:numCache>
            </c:numRef>
          </c:val>
          <c:smooth val="0"/>
          <c:extLst>
            <c:ext xmlns:c16="http://schemas.microsoft.com/office/drawing/2014/chart" uri="{C3380CC4-5D6E-409C-BE32-E72D297353CC}">
              <c16:uniqueId val="{00000000-BE1A-F344-8E52-ADF10C6A865D}"/>
            </c:ext>
          </c:extLst>
        </c:ser>
        <c:ser>
          <c:idx val="1"/>
          <c:order val="1"/>
          <c:tx>
            <c:strRef>
              <c:f>'Forecast NN XX -- T5B5'!$A$23</c:f>
              <c:strCache>
                <c:ptCount val="1"/>
                <c:pt idx="0">
                  <c:v>SAU's Historic Trend</c:v>
                </c:pt>
              </c:strCache>
            </c:strRef>
          </c:tx>
          <c:spPr>
            <a:ln w="28575" cap="rnd">
              <a:solidFill>
                <a:srgbClr val="006C35"/>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T5B5'!$J$23:$J$43</c:f>
              <c:numCache>
                <c:formatCode>General</c:formatCode>
                <c:ptCount val="21"/>
                <c:pt idx="11" formatCode="0.0">
                  <c:v>91.08331298828125</c:v>
                </c:pt>
                <c:pt idx="12" formatCode="0.0">
                  <c:v>91.32562255859375</c:v>
                </c:pt>
                <c:pt idx="13" formatCode="0.0">
                  <c:v>91.568580627441406</c:v>
                </c:pt>
                <c:pt idx="14" formatCode="0.0">
                  <c:v>91.812187194824219</c:v>
                </c:pt>
                <c:pt idx="15" formatCode="0.0">
                  <c:v>92.056434631347656</c:v>
                </c:pt>
                <c:pt idx="16" formatCode="0.0">
                  <c:v>92.301338195800781</c:v>
                </c:pt>
                <c:pt idx="17" formatCode="0.0">
                  <c:v>92.546890258789063</c:v>
                </c:pt>
                <c:pt idx="18" formatCode="0.0">
                  <c:v>92.7930908203125</c:v>
                </c:pt>
                <c:pt idx="19" formatCode="0.0">
                  <c:v>93.039955139160156</c:v>
                </c:pt>
                <c:pt idx="20" formatCode="0.0">
                  <c:v>93.287467956542969</c:v>
                </c:pt>
              </c:numCache>
            </c:numRef>
          </c:val>
          <c:smooth val="0"/>
          <c:extLst>
            <c:ext xmlns:c16="http://schemas.microsoft.com/office/drawing/2014/chart" uri="{C3380CC4-5D6E-409C-BE32-E72D297353CC}">
              <c16:uniqueId val="{00000001-BE1A-F344-8E52-ADF10C6A865D}"/>
            </c:ext>
          </c:extLst>
        </c:ser>
        <c:ser>
          <c:idx val="2"/>
          <c:order val="2"/>
          <c:tx>
            <c:strRef>
              <c:f>'Forecast NN XX -- T5B5'!$A$44</c:f>
              <c:strCache>
                <c:ptCount val="1"/>
                <c:pt idx="0">
                  <c:v>Top 5 Trend</c:v>
                </c:pt>
              </c:strCache>
            </c:strRef>
          </c:tx>
          <c:spPr>
            <a:ln w="28575" cap="rnd">
              <a:solidFill>
                <a:srgbClr val="00B0F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T5B5'!$J$44:$J$64</c:f>
              <c:numCache>
                <c:formatCode>General</c:formatCode>
                <c:ptCount val="21"/>
                <c:pt idx="11" formatCode="0.0">
                  <c:v>91.08331298828125</c:v>
                </c:pt>
                <c:pt idx="12" formatCode="0.0">
                  <c:v>91.256797790527344</c:v>
                </c:pt>
                <c:pt idx="13" formatCode="0.0">
                  <c:v>91.430618286132813</c:v>
                </c:pt>
                <c:pt idx="14" formatCode="0.0">
                  <c:v>91.604759216308594</c:v>
                </c:pt>
                <c:pt idx="15" formatCode="0.0">
                  <c:v>91.779243469238281</c:v>
                </c:pt>
                <c:pt idx="16" formatCode="0.0">
                  <c:v>91.954048156738281</c:v>
                </c:pt>
                <c:pt idx="17" formatCode="0.0">
                  <c:v>92.129196166992188</c:v>
                </c:pt>
                <c:pt idx="18" formatCode="0.0">
                  <c:v>92.304672241210938</c:v>
                </c:pt>
                <c:pt idx="19" formatCode="0.0">
                  <c:v>92.480484008789063</c:v>
                </c:pt>
                <c:pt idx="20" formatCode="0.0">
                  <c:v>92.656631469726563</c:v>
                </c:pt>
              </c:numCache>
            </c:numRef>
          </c:val>
          <c:smooth val="0"/>
          <c:extLst>
            <c:ext xmlns:c16="http://schemas.microsoft.com/office/drawing/2014/chart" uri="{C3380CC4-5D6E-409C-BE32-E72D297353CC}">
              <c16:uniqueId val="{00000002-BE1A-F344-8E52-ADF10C6A865D}"/>
            </c:ext>
          </c:extLst>
        </c:ser>
        <c:ser>
          <c:idx val="3"/>
          <c:order val="3"/>
          <c:tx>
            <c:strRef>
              <c:f>'Forecast NN XX -- T5B5'!$A$65</c:f>
              <c:strCache>
                <c:ptCount val="1"/>
                <c:pt idx="0">
                  <c:v>Bottom 5 Trend</c:v>
                </c:pt>
              </c:strCache>
            </c:strRef>
          </c:tx>
          <c:spPr>
            <a:ln w="28575" cap="rnd">
              <a:solidFill>
                <a:srgbClr val="FF0000"/>
              </a:solidFill>
              <a:prstDash val="dash"/>
              <a:round/>
            </a:ln>
            <a:effectLst/>
          </c:spPr>
          <c:marker>
            <c:symbol val="none"/>
          </c:marker>
          <c:cat>
            <c:numRef>
              <c:f>'Forecast NN XX -- T5B5'!$B$2:$B$22</c:f>
              <c:numCache>
                <c:formatCode>0</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NN XX -- T5B5'!$J$65:$J$85</c:f>
              <c:numCache>
                <c:formatCode>General</c:formatCode>
                <c:ptCount val="21"/>
                <c:pt idx="11" formatCode="0.0">
                  <c:v>91.08331298828125</c:v>
                </c:pt>
                <c:pt idx="12" formatCode="0.0">
                  <c:v>91.060325622558594</c:v>
                </c:pt>
                <c:pt idx="13" formatCode="0.0">
                  <c:v>91.037338256835938</c:v>
                </c:pt>
                <c:pt idx="14" formatCode="0.0">
                  <c:v>91.014358520507813</c:v>
                </c:pt>
                <c:pt idx="15" formatCode="0.0">
                  <c:v>90.991386413574219</c:v>
                </c:pt>
                <c:pt idx="16" formatCode="0.0">
                  <c:v>90.968414306640625</c:v>
                </c:pt>
                <c:pt idx="17" formatCode="0.0">
                  <c:v>90.945457458496094</c:v>
                </c:pt>
                <c:pt idx="18" formatCode="0.0">
                  <c:v>90.922500610351563</c:v>
                </c:pt>
                <c:pt idx="19" formatCode="0.0">
                  <c:v>90.899551391601563</c:v>
                </c:pt>
                <c:pt idx="20" formatCode="0.0">
                  <c:v>90.876602172851563</c:v>
                </c:pt>
              </c:numCache>
            </c:numRef>
          </c:val>
          <c:smooth val="0"/>
          <c:extLst>
            <c:ext xmlns:c16="http://schemas.microsoft.com/office/drawing/2014/chart" uri="{C3380CC4-5D6E-409C-BE32-E72D297353CC}">
              <c16:uniqueId val="{00000003-BE1A-F344-8E52-ADF10C6A865D}"/>
            </c:ext>
          </c:extLst>
        </c:ser>
        <c:dLbls>
          <c:showLegendKey val="0"/>
          <c:showVal val="0"/>
          <c:showCatName val="0"/>
          <c:showSerName val="0"/>
          <c:showPercent val="0"/>
          <c:showBubbleSize val="0"/>
        </c:dLbls>
        <c:smooth val="0"/>
        <c:axId val="1528900576"/>
        <c:axId val="1"/>
      </c:lineChart>
      <c:catAx>
        <c:axId val="15289005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
        <c:crosses val="autoZero"/>
        <c:auto val="1"/>
        <c:lblAlgn val="ctr"/>
        <c:lblOffset val="100"/>
        <c:noMultiLvlLbl val="0"/>
      </c:catAx>
      <c:valAx>
        <c:axId val="1"/>
        <c:scaling>
          <c:orientation val="minMax"/>
          <c:min val="8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5289005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1F7DC-0BD2-6B45-ACB7-3519C4BE5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18459</Words>
  <Characters>105219</Characters>
  <Application>Microsoft Office Word</Application>
  <DocSecurity>8</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123432</CharactersWithSpaces>
  <SharedDoc>false</SharedDoc>
  <HLinks>
    <vt:vector size="156" baseType="variant">
      <vt:variant>
        <vt:i4>1507387</vt:i4>
      </vt:variant>
      <vt:variant>
        <vt:i4>146</vt:i4>
      </vt:variant>
      <vt:variant>
        <vt:i4>0</vt:i4>
      </vt:variant>
      <vt:variant>
        <vt:i4>5</vt:i4>
      </vt:variant>
      <vt:variant>
        <vt:lpwstr/>
      </vt:variant>
      <vt:variant>
        <vt:lpwstr>_Toc88667628</vt:lpwstr>
      </vt:variant>
      <vt:variant>
        <vt:i4>1572923</vt:i4>
      </vt:variant>
      <vt:variant>
        <vt:i4>140</vt:i4>
      </vt:variant>
      <vt:variant>
        <vt:i4>0</vt:i4>
      </vt:variant>
      <vt:variant>
        <vt:i4>5</vt:i4>
      </vt:variant>
      <vt:variant>
        <vt:lpwstr/>
      </vt:variant>
      <vt:variant>
        <vt:lpwstr>_Toc88667627</vt:lpwstr>
      </vt:variant>
      <vt:variant>
        <vt:i4>1638459</vt:i4>
      </vt:variant>
      <vt:variant>
        <vt:i4>134</vt:i4>
      </vt:variant>
      <vt:variant>
        <vt:i4>0</vt:i4>
      </vt:variant>
      <vt:variant>
        <vt:i4>5</vt:i4>
      </vt:variant>
      <vt:variant>
        <vt:lpwstr/>
      </vt:variant>
      <vt:variant>
        <vt:lpwstr>_Toc88667626</vt:lpwstr>
      </vt:variant>
      <vt:variant>
        <vt:i4>1703995</vt:i4>
      </vt:variant>
      <vt:variant>
        <vt:i4>128</vt:i4>
      </vt:variant>
      <vt:variant>
        <vt:i4>0</vt:i4>
      </vt:variant>
      <vt:variant>
        <vt:i4>5</vt:i4>
      </vt:variant>
      <vt:variant>
        <vt:lpwstr/>
      </vt:variant>
      <vt:variant>
        <vt:lpwstr>_Toc88667625</vt:lpwstr>
      </vt:variant>
      <vt:variant>
        <vt:i4>1769531</vt:i4>
      </vt:variant>
      <vt:variant>
        <vt:i4>122</vt:i4>
      </vt:variant>
      <vt:variant>
        <vt:i4>0</vt:i4>
      </vt:variant>
      <vt:variant>
        <vt:i4>5</vt:i4>
      </vt:variant>
      <vt:variant>
        <vt:lpwstr/>
      </vt:variant>
      <vt:variant>
        <vt:lpwstr>_Toc88667624</vt:lpwstr>
      </vt:variant>
      <vt:variant>
        <vt:i4>1835067</vt:i4>
      </vt:variant>
      <vt:variant>
        <vt:i4>116</vt:i4>
      </vt:variant>
      <vt:variant>
        <vt:i4>0</vt:i4>
      </vt:variant>
      <vt:variant>
        <vt:i4>5</vt:i4>
      </vt:variant>
      <vt:variant>
        <vt:lpwstr/>
      </vt:variant>
      <vt:variant>
        <vt:lpwstr>_Toc88667623</vt:lpwstr>
      </vt:variant>
      <vt:variant>
        <vt:i4>1900603</vt:i4>
      </vt:variant>
      <vt:variant>
        <vt:i4>110</vt:i4>
      </vt:variant>
      <vt:variant>
        <vt:i4>0</vt:i4>
      </vt:variant>
      <vt:variant>
        <vt:i4>5</vt:i4>
      </vt:variant>
      <vt:variant>
        <vt:lpwstr/>
      </vt:variant>
      <vt:variant>
        <vt:lpwstr>_Toc88667622</vt:lpwstr>
      </vt:variant>
      <vt:variant>
        <vt:i4>1966139</vt:i4>
      </vt:variant>
      <vt:variant>
        <vt:i4>104</vt:i4>
      </vt:variant>
      <vt:variant>
        <vt:i4>0</vt:i4>
      </vt:variant>
      <vt:variant>
        <vt:i4>5</vt:i4>
      </vt:variant>
      <vt:variant>
        <vt:lpwstr/>
      </vt:variant>
      <vt:variant>
        <vt:lpwstr>_Toc88667621</vt:lpwstr>
      </vt:variant>
      <vt:variant>
        <vt:i4>2031675</vt:i4>
      </vt:variant>
      <vt:variant>
        <vt:i4>98</vt:i4>
      </vt:variant>
      <vt:variant>
        <vt:i4>0</vt:i4>
      </vt:variant>
      <vt:variant>
        <vt:i4>5</vt:i4>
      </vt:variant>
      <vt:variant>
        <vt:lpwstr/>
      </vt:variant>
      <vt:variant>
        <vt:lpwstr>_Toc88667620</vt:lpwstr>
      </vt:variant>
      <vt:variant>
        <vt:i4>1572920</vt:i4>
      </vt:variant>
      <vt:variant>
        <vt:i4>92</vt:i4>
      </vt:variant>
      <vt:variant>
        <vt:i4>0</vt:i4>
      </vt:variant>
      <vt:variant>
        <vt:i4>5</vt:i4>
      </vt:variant>
      <vt:variant>
        <vt:lpwstr/>
      </vt:variant>
      <vt:variant>
        <vt:lpwstr>_Toc88667617</vt:lpwstr>
      </vt:variant>
      <vt:variant>
        <vt:i4>1638456</vt:i4>
      </vt:variant>
      <vt:variant>
        <vt:i4>86</vt:i4>
      </vt:variant>
      <vt:variant>
        <vt:i4>0</vt:i4>
      </vt:variant>
      <vt:variant>
        <vt:i4>5</vt:i4>
      </vt:variant>
      <vt:variant>
        <vt:lpwstr/>
      </vt:variant>
      <vt:variant>
        <vt:lpwstr>_Toc88667616</vt:lpwstr>
      </vt:variant>
      <vt:variant>
        <vt:i4>1703992</vt:i4>
      </vt:variant>
      <vt:variant>
        <vt:i4>80</vt:i4>
      </vt:variant>
      <vt:variant>
        <vt:i4>0</vt:i4>
      </vt:variant>
      <vt:variant>
        <vt:i4>5</vt:i4>
      </vt:variant>
      <vt:variant>
        <vt:lpwstr/>
      </vt:variant>
      <vt:variant>
        <vt:lpwstr>_Toc88667615</vt:lpwstr>
      </vt:variant>
      <vt:variant>
        <vt:i4>1769528</vt:i4>
      </vt:variant>
      <vt:variant>
        <vt:i4>74</vt:i4>
      </vt:variant>
      <vt:variant>
        <vt:i4>0</vt:i4>
      </vt:variant>
      <vt:variant>
        <vt:i4>5</vt:i4>
      </vt:variant>
      <vt:variant>
        <vt:lpwstr/>
      </vt:variant>
      <vt:variant>
        <vt:lpwstr>_Toc88667614</vt:lpwstr>
      </vt:variant>
      <vt:variant>
        <vt:i4>1835064</vt:i4>
      </vt:variant>
      <vt:variant>
        <vt:i4>68</vt:i4>
      </vt:variant>
      <vt:variant>
        <vt:i4>0</vt:i4>
      </vt:variant>
      <vt:variant>
        <vt:i4>5</vt:i4>
      </vt:variant>
      <vt:variant>
        <vt:lpwstr/>
      </vt:variant>
      <vt:variant>
        <vt:lpwstr>_Toc88667613</vt:lpwstr>
      </vt:variant>
      <vt:variant>
        <vt:i4>1900600</vt:i4>
      </vt:variant>
      <vt:variant>
        <vt:i4>62</vt:i4>
      </vt:variant>
      <vt:variant>
        <vt:i4>0</vt:i4>
      </vt:variant>
      <vt:variant>
        <vt:i4>5</vt:i4>
      </vt:variant>
      <vt:variant>
        <vt:lpwstr/>
      </vt:variant>
      <vt:variant>
        <vt:lpwstr>_Toc88667612</vt:lpwstr>
      </vt:variant>
      <vt:variant>
        <vt:i4>1966136</vt:i4>
      </vt:variant>
      <vt:variant>
        <vt:i4>56</vt:i4>
      </vt:variant>
      <vt:variant>
        <vt:i4>0</vt:i4>
      </vt:variant>
      <vt:variant>
        <vt:i4>5</vt:i4>
      </vt:variant>
      <vt:variant>
        <vt:lpwstr/>
      </vt:variant>
      <vt:variant>
        <vt:lpwstr>_Toc88667611</vt:lpwstr>
      </vt:variant>
      <vt:variant>
        <vt:i4>1441849</vt:i4>
      </vt:variant>
      <vt:variant>
        <vt:i4>50</vt:i4>
      </vt:variant>
      <vt:variant>
        <vt:i4>0</vt:i4>
      </vt:variant>
      <vt:variant>
        <vt:i4>5</vt:i4>
      </vt:variant>
      <vt:variant>
        <vt:lpwstr/>
      </vt:variant>
      <vt:variant>
        <vt:lpwstr>_Toc88667609</vt:lpwstr>
      </vt:variant>
      <vt:variant>
        <vt:i4>1507385</vt:i4>
      </vt:variant>
      <vt:variant>
        <vt:i4>44</vt:i4>
      </vt:variant>
      <vt:variant>
        <vt:i4>0</vt:i4>
      </vt:variant>
      <vt:variant>
        <vt:i4>5</vt:i4>
      </vt:variant>
      <vt:variant>
        <vt:lpwstr/>
      </vt:variant>
      <vt:variant>
        <vt:lpwstr>_Toc88667608</vt:lpwstr>
      </vt:variant>
      <vt:variant>
        <vt:i4>1572921</vt:i4>
      </vt:variant>
      <vt:variant>
        <vt:i4>38</vt:i4>
      </vt:variant>
      <vt:variant>
        <vt:i4>0</vt:i4>
      </vt:variant>
      <vt:variant>
        <vt:i4>5</vt:i4>
      </vt:variant>
      <vt:variant>
        <vt:lpwstr/>
      </vt:variant>
      <vt:variant>
        <vt:lpwstr>_Toc88667607</vt:lpwstr>
      </vt:variant>
      <vt:variant>
        <vt:i4>1638457</vt:i4>
      </vt:variant>
      <vt:variant>
        <vt:i4>32</vt:i4>
      </vt:variant>
      <vt:variant>
        <vt:i4>0</vt:i4>
      </vt:variant>
      <vt:variant>
        <vt:i4>5</vt:i4>
      </vt:variant>
      <vt:variant>
        <vt:lpwstr/>
      </vt:variant>
      <vt:variant>
        <vt:lpwstr>_Toc88667606</vt:lpwstr>
      </vt:variant>
      <vt:variant>
        <vt:i4>1703993</vt:i4>
      </vt:variant>
      <vt:variant>
        <vt:i4>26</vt:i4>
      </vt:variant>
      <vt:variant>
        <vt:i4>0</vt:i4>
      </vt:variant>
      <vt:variant>
        <vt:i4>5</vt:i4>
      </vt:variant>
      <vt:variant>
        <vt:lpwstr/>
      </vt:variant>
      <vt:variant>
        <vt:lpwstr>_Toc88667605</vt:lpwstr>
      </vt:variant>
      <vt:variant>
        <vt:i4>1835065</vt:i4>
      </vt:variant>
      <vt:variant>
        <vt:i4>20</vt:i4>
      </vt:variant>
      <vt:variant>
        <vt:i4>0</vt:i4>
      </vt:variant>
      <vt:variant>
        <vt:i4>5</vt:i4>
      </vt:variant>
      <vt:variant>
        <vt:lpwstr/>
      </vt:variant>
      <vt:variant>
        <vt:lpwstr>_Toc88667603</vt:lpwstr>
      </vt:variant>
      <vt:variant>
        <vt:i4>1966137</vt:i4>
      </vt:variant>
      <vt:variant>
        <vt:i4>14</vt:i4>
      </vt:variant>
      <vt:variant>
        <vt:i4>0</vt:i4>
      </vt:variant>
      <vt:variant>
        <vt:i4>5</vt:i4>
      </vt:variant>
      <vt:variant>
        <vt:lpwstr/>
      </vt:variant>
      <vt:variant>
        <vt:lpwstr>_Toc88667601</vt:lpwstr>
      </vt:variant>
      <vt:variant>
        <vt:i4>2031673</vt:i4>
      </vt:variant>
      <vt:variant>
        <vt:i4>8</vt:i4>
      </vt:variant>
      <vt:variant>
        <vt:i4>0</vt:i4>
      </vt:variant>
      <vt:variant>
        <vt:i4>5</vt:i4>
      </vt:variant>
      <vt:variant>
        <vt:lpwstr/>
      </vt:variant>
      <vt:variant>
        <vt:lpwstr>_Toc88667600</vt:lpwstr>
      </vt:variant>
      <vt:variant>
        <vt:i4>1376304</vt:i4>
      </vt:variant>
      <vt:variant>
        <vt:i4>2</vt:i4>
      </vt:variant>
      <vt:variant>
        <vt:i4>0</vt:i4>
      </vt:variant>
      <vt:variant>
        <vt:i4>5</vt:i4>
      </vt:variant>
      <vt:variant>
        <vt:lpwstr/>
      </vt:variant>
      <vt:variant>
        <vt:lpwstr>_Toc88667599</vt:lpwstr>
      </vt:variant>
      <vt:variant>
        <vt:i4>4194398</vt:i4>
      </vt:variant>
      <vt:variant>
        <vt:i4>0</vt:i4>
      </vt:variant>
      <vt:variant>
        <vt:i4>0</vt:i4>
      </vt:variant>
      <vt:variant>
        <vt:i4>5</vt:i4>
      </vt:variant>
      <vt:variant>
        <vt:lpwstr>https://www.un.org/sustainabledevelopment/sustainable-development-goals/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 in KSA</dc:creator>
  <cp:keywords/>
  <dc:description/>
  <cp:lastModifiedBy>Sheema Baghabrah</cp:lastModifiedBy>
  <cp:revision>2</cp:revision>
  <cp:lastPrinted>2022-06-06T12:37:00Z</cp:lastPrinted>
  <dcterms:created xsi:type="dcterms:W3CDTF">2022-08-18T12:41:00Z</dcterms:created>
  <dcterms:modified xsi:type="dcterms:W3CDTF">2022-08-18T12:41:00Z</dcterms:modified>
</cp:coreProperties>
</file>